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4" w:rsidRPr="00AC7DBC" w:rsidRDefault="006A0944" w:rsidP="006A0944">
      <w:pPr>
        <w:jc w:val="both"/>
        <w:rPr>
          <w:rFonts w:ascii="Times New Roman" w:hAnsi="Times New Roman" w:cs="Times New Roman"/>
          <w:b/>
          <w:color w:val="00B050"/>
        </w:rPr>
      </w:pPr>
      <w:r w:rsidRPr="00AC7DBC">
        <w:rPr>
          <w:rFonts w:ascii="Times New Roman" w:hAnsi="Times New Roman" w:cs="Times New Roman"/>
          <w:b/>
          <w:color w:val="00B050"/>
        </w:rPr>
        <w:t xml:space="preserve">Lühiülevaade </w:t>
      </w:r>
      <w:r w:rsidR="00E47871" w:rsidRPr="00AC7DBC">
        <w:rPr>
          <w:rFonts w:ascii="Times New Roman" w:hAnsi="Times New Roman" w:cs="Times New Roman"/>
          <w:b/>
          <w:color w:val="00B050"/>
        </w:rPr>
        <w:t>Kohtla-Nõmme v</w:t>
      </w:r>
      <w:r w:rsidR="00996903" w:rsidRPr="00AC7DBC">
        <w:rPr>
          <w:rFonts w:ascii="Times New Roman" w:hAnsi="Times New Roman" w:cs="Times New Roman"/>
          <w:b/>
          <w:color w:val="00B050"/>
        </w:rPr>
        <w:t xml:space="preserve">alla </w:t>
      </w:r>
      <w:r w:rsidRPr="00AC7DBC">
        <w:rPr>
          <w:rFonts w:ascii="Times New Roman" w:hAnsi="Times New Roman" w:cs="Times New Roman"/>
          <w:b/>
          <w:color w:val="00B050"/>
        </w:rPr>
        <w:t>201</w:t>
      </w:r>
      <w:r w:rsidR="008C7D0A">
        <w:rPr>
          <w:rFonts w:ascii="Times New Roman" w:hAnsi="Times New Roman" w:cs="Times New Roman"/>
          <w:b/>
          <w:color w:val="00B050"/>
        </w:rPr>
        <w:t>7</w:t>
      </w:r>
      <w:r w:rsidRPr="00AC7DBC">
        <w:rPr>
          <w:rFonts w:ascii="Times New Roman" w:hAnsi="Times New Roman" w:cs="Times New Roman"/>
          <w:b/>
          <w:color w:val="00B050"/>
        </w:rPr>
        <w:t>.</w:t>
      </w:r>
      <w:r w:rsidR="00996903" w:rsidRPr="00AC7DBC">
        <w:rPr>
          <w:rFonts w:ascii="Times New Roman" w:hAnsi="Times New Roman" w:cs="Times New Roman"/>
          <w:b/>
          <w:color w:val="00B050"/>
        </w:rPr>
        <w:t xml:space="preserve"> </w:t>
      </w:r>
      <w:r w:rsidRPr="00AC7DBC">
        <w:rPr>
          <w:rFonts w:ascii="Times New Roman" w:hAnsi="Times New Roman" w:cs="Times New Roman"/>
          <w:b/>
          <w:color w:val="00B050"/>
        </w:rPr>
        <w:t xml:space="preserve">aasta  eelarvest </w:t>
      </w:r>
    </w:p>
    <w:p w:rsidR="006A0944" w:rsidRPr="00AC7DBC" w:rsidRDefault="00E47871" w:rsidP="006A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</w:rPr>
        <w:t>Vald kinnitas arengu</w:t>
      </w:r>
      <w:r w:rsidR="006A0944" w:rsidRPr="00AC7DBC">
        <w:rPr>
          <w:rFonts w:ascii="Times New Roman" w:hAnsi="Times New Roman" w:cs="Times New Roman"/>
        </w:rPr>
        <w:t>prioriteedid 201</w:t>
      </w:r>
      <w:r w:rsidR="008C7D0A">
        <w:rPr>
          <w:rFonts w:ascii="Times New Roman" w:hAnsi="Times New Roman" w:cs="Times New Roman"/>
        </w:rPr>
        <w:t>7</w:t>
      </w:r>
      <w:r w:rsidR="006A0944" w:rsidRPr="00AC7DBC">
        <w:rPr>
          <w:rFonts w:ascii="Times New Roman" w:hAnsi="Times New Roman" w:cs="Times New Roman"/>
        </w:rPr>
        <w:t xml:space="preserve">. aastaks </w:t>
      </w:r>
      <w:r w:rsidRPr="00AC7DBC">
        <w:rPr>
          <w:rFonts w:ascii="Times New Roman" w:hAnsi="Times New Roman" w:cs="Times New Roman"/>
        </w:rPr>
        <w:t>eelarvestrateegia dokumendis aastateks</w:t>
      </w:r>
      <w:r w:rsidR="00996903" w:rsidRPr="00AC7DBC">
        <w:rPr>
          <w:rFonts w:ascii="Times New Roman" w:hAnsi="Times New Roman" w:cs="Times New Roman"/>
        </w:rPr>
        <w:t xml:space="preserve"> 201</w:t>
      </w:r>
      <w:r w:rsidR="008C7D0A">
        <w:rPr>
          <w:rFonts w:ascii="Times New Roman" w:hAnsi="Times New Roman" w:cs="Times New Roman"/>
        </w:rPr>
        <w:t>7</w:t>
      </w:r>
      <w:r w:rsidR="00996903" w:rsidRPr="00AC7DBC">
        <w:rPr>
          <w:rFonts w:ascii="Times New Roman" w:hAnsi="Times New Roman" w:cs="Times New Roman"/>
        </w:rPr>
        <w:t>-20</w:t>
      </w:r>
      <w:r w:rsidR="008C7D0A">
        <w:rPr>
          <w:rFonts w:ascii="Times New Roman" w:hAnsi="Times New Roman" w:cs="Times New Roman"/>
        </w:rPr>
        <w:t>21</w:t>
      </w:r>
      <w:r w:rsidR="00996903" w:rsidRPr="00AC7DBC">
        <w:rPr>
          <w:rFonts w:ascii="Times New Roman" w:hAnsi="Times New Roman" w:cs="Times New Roman"/>
        </w:rPr>
        <w:t>,</w:t>
      </w:r>
      <w:r w:rsidR="006A0944" w:rsidRPr="00AC7DBC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6A0944" w:rsidRPr="00AC7DBC">
        <w:rPr>
          <w:rFonts w:ascii="Times New Roman" w:hAnsi="Times New Roman" w:cs="Times New Roman"/>
        </w:rPr>
        <w:t>mis võeti vastu 201</w:t>
      </w:r>
      <w:r w:rsidR="008C7D0A">
        <w:rPr>
          <w:rFonts w:ascii="Times New Roman" w:hAnsi="Times New Roman" w:cs="Times New Roman"/>
        </w:rPr>
        <w:t>6</w:t>
      </w:r>
      <w:r w:rsidR="006A0944" w:rsidRPr="00AC7DBC">
        <w:rPr>
          <w:rFonts w:ascii="Times New Roman" w:hAnsi="Times New Roman" w:cs="Times New Roman"/>
        </w:rPr>
        <w:t>.</w:t>
      </w:r>
      <w:r w:rsidR="00996903" w:rsidRPr="00AC7DBC">
        <w:rPr>
          <w:rFonts w:ascii="Times New Roman" w:hAnsi="Times New Roman" w:cs="Times New Roman"/>
        </w:rPr>
        <w:t xml:space="preserve"> a</w:t>
      </w:r>
      <w:r w:rsidR="006A0944" w:rsidRPr="00AC7DBC">
        <w:rPr>
          <w:rFonts w:ascii="Times New Roman" w:hAnsi="Times New Roman" w:cs="Times New Roman"/>
        </w:rPr>
        <w:t>asta</w:t>
      </w:r>
      <w:r w:rsidR="00996903" w:rsidRPr="00AC7DBC">
        <w:rPr>
          <w:rFonts w:ascii="Times New Roman" w:hAnsi="Times New Roman" w:cs="Times New Roman"/>
        </w:rPr>
        <w:t xml:space="preserve"> </w:t>
      </w:r>
      <w:r w:rsidR="008C7D0A">
        <w:rPr>
          <w:rFonts w:ascii="Times New Roman" w:hAnsi="Times New Roman" w:cs="Times New Roman"/>
        </w:rPr>
        <w:t>novemb</w:t>
      </w:r>
      <w:r w:rsidR="00996903" w:rsidRPr="00AC7DBC">
        <w:rPr>
          <w:rFonts w:ascii="Times New Roman" w:hAnsi="Times New Roman" w:cs="Times New Roman"/>
        </w:rPr>
        <w:t>ris. Eelarvepoliitika järjekindlus on üheks olulisemaks stabiilsuse näitajaks.</w:t>
      </w:r>
      <w:r w:rsidR="006A0944" w:rsidRPr="00AC7DBC">
        <w:rPr>
          <w:rFonts w:ascii="Times New Roman" w:hAnsi="Times New Roman" w:cs="Times New Roman"/>
        </w:rPr>
        <w:t xml:space="preserve"> </w:t>
      </w:r>
      <w:r w:rsidRPr="00AC7DBC">
        <w:rPr>
          <w:rFonts w:ascii="Times New Roman" w:hAnsi="Times New Roman" w:cs="Times New Roman"/>
        </w:rPr>
        <w:t>Kohtla-Nõmme valla</w:t>
      </w:r>
      <w:r w:rsidR="005604FF" w:rsidRPr="00AC7DBC">
        <w:rPr>
          <w:rFonts w:ascii="Times New Roman" w:hAnsi="Times New Roman" w:cs="Times New Roman"/>
        </w:rPr>
        <w:t xml:space="preserve"> 201</w:t>
      </w:r>
      <w:r w:rsidR="008C7D0A">
        <w:rPr>
          <w:rFonts w:ascii="Times New Roman" w:hAnsi="Times New Roman" w:cs="Times New Roman"/>
        </w:rPr>
        <w:t>7</w:t>
      </w:r>
      <w:r w:rsidR="005604FF" w:rsidRPr="00AC7DBC">
        <w:rPr>
          <w:rFonts w:ascii="Times New Roman" w:hAnsi="Times New Roman" w:cs="Times New Roman"/>
        </w:rPr>
        <w:t>. aasta eelarve lühiülevaates on võrreldav</w:t>
      </w:r>
      <w:r w:rsidR="00605A4A" w:rsidRPr="00AC7DBC">
        <w:rPr>
          <w:rFonts w:ascii="Times New Roman" w:hAnsi="Times New Roman" w:cs="Times New Roman"/>
        </w:rPr>
        <w:t xml:space="preserve">aks näitajaks eelneva perioodi </w:t>
      </w:r>
      <w:r w:rsidR="005604FF" w:rsidRPr="00AC7DBC">
        <w:rPr>
          <w:rFonts w:ascii="Times New Roman" w:hAnsi="Times New Roman" w:cs="Times New Roman"/>
        </w:rPr>
        <w:t>(201</w:t>
      </w:r>
      <w:r w:rsidR="008C7D0A">
        <w:rPr>
          <w:rFonts w:ascii="Times New Roman" w:hAnsi="Times New Roman" w:cs="Times New Roman"/>
        </w:rPr>
        <w:t>6</w:t>
      </w:r>
      <w:r w:rsidR="005604FF" w:rsidRPr="00AC7DBC">
        <w:rPr>
          <w:rFonts w:ascii="Times New Roman" w:hAnsi="Times New Roman" w:cs="Times New Roman"/>
        </w:rPr>
        <w:t>) täitmine. Koondeelarve seletuskirja</w:t>
      </w:r>
      <w:r w:rsidR="008C7D0A">
        <w:rPr>
          <w:rFonts w:ascii="Times New Roman" w:hAnsi="Times New Roman" w:cs="Times New Roman"/>
        </w:rPr>
        <w:t xml:space="preserve"> tabelis</w:t>
      </w:r>
      <w:r w:rsidR="005604FF" w:rsidRPr="00AC7DBC">
        <w:rPr>
          <w:rFonts w:ascii="Times New Roman" w:hAnsi="Times New Roman" w:cs="Times New Roman"/>
        </w:rPr>
        <w:t xml:space="preserve"> on võrreldavaks näitajaks eelneva perioodi (201</w:t>
      </w:r>
      <w:r w:rsidR="008C7D0A">
        <w:rPr>
          <w:rFonts w:ascii="Times New Roman" w:hAnsi="Times New Roman" w:cs="Times New Roman"/>
        </w:rPr>
        <w:t>6</w:t>
      </w:r>
      <w:r w:rsidR="005604FF" w:rsidRPr="00AC7DBC">
        <w:rPr>
          <w:rFonts w:ascii="Times New Roman" w:hAnsi="Times New Roman" w:cs="Times New Roman"/>
        </w:rPr>
        <w:t>) eelarve.</w:t>
      </w:r>
    </w:p>
    <w:p w:rsidR="00263A17" w:rsidRPr="00AC7DBC" w:rsidRDefault="006A0944" w:rsidP="00263A17">
      <w:pPr>
        <w:pStyle w:val="Pealkiri1"/>
        <w:spacing w:line="360" w:lineRule="auto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AC7DBC">
        <w:rPr>
          <w:rFonts w:ascii="Times New Roman" w:hAnsi="Times New Roman" w:cs="Times New Roman"/>
          <w:color w:val="00B050"/>
          <w:sz w:val="22"/>
          <w:szCs w:val="22"/>
        </w:rPr>
        <w:t>201</w:t>
      </w:r>
      <w:r w:rsidR="008C7D0A">
        <w:rPr>
          <w:rFonts w:ascii="Times New Roman" w:hAnsi="Times New Roman" w:cs="Times New Roman"/>
          <w:color w:val="00B050"/>
          <w:sz w:val="22"/>
          <w:szCs w:val="22"/>
        </w:rPr>
        <w:t>7</w:t>
      </w:r>
      <w:r w:rsidRPr="00AC7DBC">
        <w:rPr>
          <w:rFonts w:ascii="Times New Roman" w:hAnsi="Times New Roman" w:cs="Times New Roman"/>
          <w:color w:val="00B050"/>
          <w:sz w:val="22"/>
          <w:szCs w:val="22"/>
        </w:rPr>
        <w:t>.</w:t>
      </w:r>
      <w:r w:rsidR="00605A4A" w:rsidRPr="00AC7DB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C7DBC">
        <w:rPr>
          <w:rFonts w:ascii="Times New Roman" w:hAnsi="Times New Roman" w:cs="Times New Roman"/>
          <w:color w:val="00B050"/>
          <w:sz w:val="22"/>
          <w:szCs w:val="22"/>
        </w:rPr>
        <w:t>aastaks on valla</w:t>
      </w:r>
      <w:r w:rsidR="00ED7190" w:rsidRPr="00AC7DB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C7DBC">
        <w:rPr>
          <w:rFonts w:ascii="Times New Roman" w:hAnsi="Times New Roman" w:cs="Times New Roman"/>
          <w:color w:val="00B050"/>
          <w:sz w:val="22"/>
          <w:szCs w:val="22"/>
        </w:rPr>
        <w:t>prioriteeti</w:t>
      </w:r>
      <w:r w:rsidR="00ED7190" w:rsidRPr="00AC7DBC">
        <w:rPr>
          <w:rFonts w:ascii="Times New Roman" w:hAnsi="Times New Roman" w:cs="Times New Roman"/>
          <w:color w:val="00B050"/>
          <w:sz w:val="22"/>
          <w:szCs w:val="22"/>
        </w:rPr>
        <w:t>deks</w:t>
      </w:r>
      <w:r w:rsidRPr="00AC7DBC">
        <w:rPr>
          <w:rFonts w:ascii="Times New Roman" w:hAnsi="Times New Roman" w:cs="Times New Roman"/>
          <w:color w:val="00B050"/>
          <w:sz w:val="22"/>
          <w:szCs w:val="22"/>
        </w:rPr>
        <w:t>:</w:t>
      </w:r>
    </w:p>
    <w:p w:rsidR="00F44D2D" w:rsidRPr="00AC7DBC" w:rsidRDefault="00F44D2D" w:rsidP="00263A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 xml:space="preserve">Jätkusuutlik eelarvepositsioon: </w:t>
      </w:r>
      <w:r w:rsidRPr="00AC7DBC">
        <w:rPr>
          <w:rFonts w:ascii="Times New Roman" w:hAnsi="Times New Roman" w:cs="Times New Roman"/>
        </w:rPr>
        <w:t xml:space="preserve">aastavahetuseks kogunenud likviidset vara ei kasutata tulevaste perioodide </w:t>
      </w:r>
      <w:r w:rsidR="00FF2BD3" w:rsidRPr="00AC7DBC">
        <w:rPr>
          <w:rFonts w:ascii="Times New Roman" w:hAnsi="Times New Roman" w:cs="Times New Roman"/>
        </w:rPr>
        <w:t xml:space="preserve">põhitegevuse </w:t>
      </w:r>
      <w:r w:rsidRPr="00AC7DBC">
        <w:rPr>
          <w:rFonts w:ascii="Times New Roman" w:hAnsi="Times New Roman" w:cs="Times New Roman"/>
        </w:rPr>
        <w:t>kulude katteks (va sihtlaekumised).</w:t>
      </w:r>
      <w:r w:rsidR="00605A4A" w:rsidRPr="00AC7DBC">
        <w:rPr>
          <w:rFonts w:ascii="Times New Roman" w:hAnsi="Times New Roman" w:cs="Times New Roman"/>
        </w:rPr>
        <w:t xml:space="preserve"> Eelarveaasta</w:t>
      </w:r>
      <w:r w:rsidR="00231C22" w:rsidRPr="00AC7DBC">
        <w:rPr>
          <w:rFonts w:ascii="Times New Roman" w:hAnsi="Times New Roman" w:cs="Times New Roman"/>
        </w:rPr>
        <w:t xml:space="preserve"> keskel hoidutakse positiivsete lisaeelarvete koostamisest maksutulu arvelt. Põhitegevuse tulude ja kulude saldo on vähemalt 0. </w:t>
      </w:r>
      <w:r w:rsidR="00E47871" w:rsidRPr="00AC7DBC">
        <w:rPr>
          <w:rFonts w:ascii="Times New Roman" w:hAnsi="Times New Roman" w:cs="Times New Roman"/>
        </w:rPr>
        <w:t xml:space="preserve">Maksutulu </w:t>
      </w:r>
      <w:r w:rsidR="00A3692E" w:rsidRPr="00AC7DBC">
        <w:rPr>
          <w:rFonts w:ascii="Times New Roman" w:hAnsi="Times New Roman" w:cs="Times New Roman"/>
        </w:rPr>
        <w:t>kulutatakse säästlikult ja mõistlikult.</w:t>
      </w:r>
    </w:p>
    <w:p w:rsidR="006A0944" w:rsidRPr="00AC7DBC" w:rsidRDefault="006A0944" w:rsidP="006A0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 xml:space="preserve">Hariduse kättesaadavuse tagamine: </w:t>
      </w:r>
      <w:r w:rsidR="00F44D2D" w:rsidRPr="00AC7DBC">
        <w:rPr>
          <w:rFonts w:ascii="Times New Roman" w:hAnsi="Times New Roman" w:cs="Times New Roman"/>
        </w:rPr>
        <w:t>alushariduse</w:t>
      </w:r>
      <w:r w:rsidR="00F44D2D" w:rsidRPr="00AC7DBC">
        <w:rPr>
          <w:rFonts w:ascii="Times New Roman" w:hAnsi="Times New Roman" w:cs="Times New Roman"/>
          <w:b/>
        </w:rPr>
        <w:t xml:space="preserve"> </w:t>
      </w:r>
      <w:r w:rsidR="00F44D2D" w:rsidRPr="00AC7DBC">
        <w:rPr>
          <w:rFonts w:ascii="Times New Roman" w:hAnsi="Times New Roman" w:cs="Times New Roman"/>
        </w:rPr>
        <w:t>omandamise võimaldamine 1,5-7 aastastele lastele, kohustusliku põhihariduse omandamise võimaldamine kõigile valla elanikele vanuses 7-17 aastat, gümnaasiumihariduse omandamise võimaldamine.</w:t>
      </w:r>
      <w:r w:rsidR="006561F2" w:rsidRPr="00AC7DBC">
        <w:rPr>
          <w:rFonts w:ascii="Times New Roman" w:hAnsi="Times New Roman" w:cs="Times New Roman"/>
        </w:rPr>
        <w:t xml:space="preserve"> </w:t>
      </w:r>
    </w:p>
    <w:p w:rsidR="006561F2" w:rsidRPr="001C40D1" w:rsidRDefault="006561F2" w:rsidP="006561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 xml:space="preserve">Vald on konkurentsivõimeline tööandja: </w:t>
      </w:r>
      <w:r w:rsidR="00F95B1C" w:rsidRPr="00F95B1C">
        <w:rPr>
          <w:rFonts w:ascii="Times New Roman" w:hAnsi="Times New Roman" w:cs="Times New Roman"/>
        </w:rPr>
        <w:t>töötajate ja</w:t>
      </w:r>
      <w:r w:rsidR="00F95B1C">
        <w:rPr>
          <w:rFonts w:ascii="Times New Roman" w:hAnsi="Times New Roman" w:cs="Times New Roman"/>
          <w:b/>
        </w:rPr>
        <w:t xml:space="preserve"> </w:t>
      </w:r>
      <w:r w:rsidR="00605A4A" w:rsidRPr="00AC7DBC">
        <w:rPr>
          <w:rFonts w:ascii="Times New Roman" w:hAnsi="Times New Roman" w:cs="Times New Roman"/>
        </w:rPr>
        <w:t>teenistujate</w:t>
      </w:r>
      <w:r w:rsidRPr="00AC7DBC">
        <w:rPr>
          <w:rFonts w:ascii="Times New Roman" w:hAnsi="Times New Roman" w:cs="Times New Roman"/>
        </w:rPr>
        <w:t xml:space="preserve"> töötasu tõstmine</w:t>
      </w:r>
      <w:r w:rsidR="001F1FD6">
        <w:rPr>
          <w:rFonts w:ascii="Times New Roman" w:hAnsi="Times New Roman" w:cs="Times New Roman"/>
        </w:rPr>
        <w:t xml:space="preserve"> miinimumpalg</w:t>
      </w:r>
      <w:r w:rsidR="008C7D0A">
        <w:rPr>
          <w:rFonts w:ascii="Times New Roman" w:hAnsi="Times New Roman" w:cs="Times New Roman"/>
        </w:rPr>
        <w:t>a tõusu</w:t>
      </w:r>
      <w:r w:rsidR="001F1FD6">
        <w:rPr>
          <w:rFonts w:ascii="Times New Roman" w:hAnsi="Times New Roman" w:cs="Times New Roman"/>
        </w:rPr>
        <w:t xml:space="preserve"> ulatuses</w:t>
      </w:r>
      <w:r w:rsidR="001C40D1">
        <w:rPr>
          <w:rFonts w:ascii="Times New Roman" w:hAnsi="Times New Roman" w:cs="Times New Roman"/>
        </w:rPr>
        <w:t xml:space="preserve"> (40€ ametikoha kohta)</w:t>
      </w:r>
      <w:r w:rsidRPr="00AC7DBC">
        <w:rPr>
          <w:rFonts w:ascii="Times New Roman" w:hAnsi="Times New Roman" w:cs="Times New Roman"/>
        </w:rPr>
        <w:t xml:space="preserve">. </w:t>
      </w:r>
    </w:p>
    <w:p w:rsidR="001C40D1" w:rsidRPr="001C40D1" w:rsidRDefault="001C40D1" w:rsidP="006561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Rahvamaja renoveerimine </w:t>
      </w:r>
      <w:r w:rsidRPr="004072B3">
        <w:rPr>
          <w:rFonts w:ascii="Times New Roman" w:hAnsi="Times New Roman" w:cs="Times New Roman"/>
        </w:rPr>
        <w:t>(fassaad</w:t>
      </w:r>
      <w:r>
        <w:rPr>
          <w:rFonts w:ascii="Times New Roman" w:hAnsi="Times New Roman" w:cs="Times New Roman"/>
        </w:rPr>
        <w:t>).</w:t>
      </w:r>
    </w:p>
    <w:p w:rsidR="001C40D1" w:rsidRPr="00AC7DBC" w:rsidRDefault="001C40D1" w:rsidP="006561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Laululava ehitamine.</w:t>
      </w:r>
    </w:p>
    <w:p w:rsidR="00231C22" w:rsidRDefault="00231C22" w:rsidP="00A369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 xml:space="preserve">Uute </w:t>
      </w:r>
      <w:r w:rsidR="006561F2" w:rsidRPr="00AC7DBC">
        <w:rPr>
          <w:rFonts w:ascii="Times New Roman" w:hAnsi="Times New Roman" w:cs="Times New Roman"/>
          <w:b/>
        </w:rPr>
        <w:t xml:space="preserve">tänavavalgustusliinide rajamine: </w:t>
      </w:r>
      <w:r w:rsidR="00605A4A" w:rsidRPr="00AC7DBC">
        <w:rPr>
          <w:rFonts w:ascii="Times New Roman" w:hAnsi="Times New Roman" w:cs="Times New Roman"/>
        </w:rPr>
        <w:t>Õuna, Kuusiku, K</w:t>
      </w:r>
      <w:r w:rsidR="006561F2" w:rsidRPr="00AC7DBC">
        <w:rPr>
          <w:rFonts w:ascii="Times New Roman" w:hAnsi="Times New Roman" w:cs="Times New Roman"/>
        </w:rPr>
        <w:t>anarbiku, Kase</w:t>
      </w:r>
      <w:r w:rsidR="00E47871" w:rsidRPr="00AC7DBC">
        <w:rPr>
          <w:rFonts w:ascii="Times New Roman" w:hAnsi="Times New Roman" w:cs="Times New Roman"/>
        </w:rPr>
        <w:t xml:space="preserve"> ja </w:t>
      </w:r>
      <w:r w:rsidR="00605A4A" w:rsidRPr="00AC7DBC">
        <w:rPr>
          <w:rFonts w:ascii="Times New Roman" w:hAnsi="Times New Roman" w:cs="Times New Roman"/>
        </w:rPr>
        <w:t>Jaama</w:t>
      </w:r>
      <w:r w:rsidR="00E47871" w:rsidRPr="00AC7DBC">
        <w:rPr>
          <w:rFonts w:ascii="Times New Roman" w:hAnsi="Times New Roman" w:cs="Times New Roman"/>
        </w:rPr>
        <w:t xml:space="preserve"> tänav</w:t>
      </w:r>
      <w:r w:rsidR="00605A4A" w:rsidRPr="00AC7DBC">
        <w:rPr>
          <w:rFonts w:ascii="Times New Roman" w:hAnsi="Times New Roman" w:cs="Times New Roman"/>
        </w:rPr>
        <w:t xml:space="preserve">. </w:t>
      </w:r>
    </w:p>
    <w:p w:rsidR="006561F2" w:rsidRDefault="00A3692E" w:rsidP="006A0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>Valla teede rekonstrueerimine</w:t>
      </w:r>
      <w:r w:rsidR="004072B3">
        <w:rPr>
          <w:rFonts w:ascii="Times New Roman" w:hAnsi="Times New Roman" w:cs="Times New Roman"/>
          <w:b/>
        </w:rPr>
        <w:t xml:space="preserve"> </w:t>
      </w:r>
      <w:r w:rsidR="004072B3" w:rsidRPr="004072B3">
        <w:rPr>
          <w:rFonts w:ascii="Times New Roman" w:hAnsi="Times New Roman" w:cs="Times New Roman"/>
        </w:rPr>
        <w:t>(Jaama</w:t>
      </w:r>
      <w:r w:rsidR="004072B3">
        <w:rPr>
          <w:rFonts w:ascii="Times New Roman" w:hAnsi="Times New Roman" w:cs="Times New Roman"/>
        </w:rPr>
        <w:t xml:space="preserve"> tn pindamine ja </w:t>
      </w:r>
      <w:r w:rsidR="004072B3" w:rsidRPr="004072B3">
        <w:rPr>
          <w:rFonts w:ascii="Times New Roman" w:hAnsi="Times New Roman" w:cs="Times New Roman"/>
        </w:rPr>
        <w:t>Tööstuse</w:t>
      </w:r>
      <w:r w:rsidR="004072B3">
        <w:rPr>
          <w:rFonts w:ascii="Times New Roman" w:hAnsi="Times New Roman" w:cs="Times New Roman"/>
        </w:rPr>
        <w:t xml:space="preserve"> tn remont</w:t>
      </w:r>
      <w:r w:rsidR="004072B3" w:rsidRPr="004072B3">
        <w:rPr>
          <w:rFonts w:ascii="Times New Roman" w:hAnsi="Times New Roman" w:cs="Times New Roman"/>
        </w:rPr>
        <w:t>)</w:t>
      </w:r>
      <w:r w:rsidR="004072B3">
        <w:rPr>
          <w:rFonts w:ascii="Times New Roman" w:hAnsi="Times New Roman" w:cs="Times New Roman"/>
        </w:rPr>
        <w:t>,</w:t>
      </w:r>
      <w:r w:rsidRPr="00AC7DBC">
        <w:rPr>
          <w:rFonts w:ascii="Times New Roman" w:hAnsi="Times New Roman" w:cs="Times New Roman"/>
        </w:rPr>
        <w:t xml:space="preserve"> </w:t>
      </w:r>
      <w:r w:rsidR="004072B3" w:rsidRPr="004072B3">
        <w:rPr>
          <w:rFonts w:ascii="Times New Roman" w:hAnsi="Times New Roman" w:cs="Times New Roman"/>
        </w:rPr>
        <w:t>Kohtla-Nõmme Raudteepeatuse ja Raudtee tänava ühendamine kergliiklusteega</w:t>
      </w:r>
      <w:r w:rsidR="004072B3">
        <w:rPr>
          <w:rFonts w:ascii="Times New Roman" w:hAnsi="Times New Roman" w:cs="Times New Roman"/>
        </w:rPr>
        <w:t xml:space="preserve"> sh</w:t>
      </w:r>
      <w:r w:rsidR="004072B3" w:rsidRPr="004072B3">
        <w:rPr>
          <w:rFonts w:ascii="Times New Roman" w:hAnsi="Times New Roman" w:cs="Times New Roman"/>
        </w:rPr>
        <w:t xml:space="preserve"> bussiootepaviljoni</w:t>
      </w:r>
      <w:r w:rsidR="004072B3" w:rsidRPr="00AC7DBC">
        <w:rPr>
          <w:rFonts w:ascii="Times New Roman" w:hAnsi="Times New Roman" w:cs="Times New Roman"/>
        </w:rPr>
        <w:t xml:space="preserve"> paigaldamine</w:t>
      </w:r>
      <w:r w:rsidR="004072B3">
        <w:rPr>
          <w:rFonts w:ascii="Times New Roman" w:hAnsi="Times New Roman" w:cs="Times New Roman"/>
        </w:rPr>
        <w:t xml:space="preserve"> RTJ, Jaama tn kõnnitee renoveerimine  </w:t>
      </w:r>
    </w:p>
    <w:p w:rsidR="004072B3" w:rsidRPr="004072B3" w:rsidRDefault="004072B3" w:rsidP="006A0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72B3">
        <w:rPr>
          <w:rFonts w:ascii="Times New Roman" w:hAnsi="Times New Roman" w:cs="Times New Roman"/>
          <w:b/>
        </w:rPr>
        <w:t xml:space="preserve">Kohtla-Nõmme Kooli </w:t>
      </w:r>
      <w:r w:rsidRPr="004072B3">
        <w:rPr>
          <w:rFonts w:ascii="Times New Roman" w:hAnsi="Times New Roman" w:cs="Times New Roman"/>
          <w:sz w:val="23"/>
          <w:szCs w:val="23"/>
        </w:rPr>
        <w:t>virgestusala rajamine</w:t>
      </w:r>
      <w:r>
        <w:rPr>
          <w:rFonts w:ascii="Times New Roman" w:hAnsi="Times New Roman" w:cs="Times New Roman"/>
          <w:sz w:val="23"/>
          <w:szCs w:val="23"/>
        </w:rPr>
        <w:t>, kooli piirdeaia ehitamine.</w:t>
      </w:r>
    </w:p>
    <w:p w:rsidR="004072B3" w:rsidRPr="001C40D1" w:rsidRDefault="004072B3" w:rsidP="001C40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72B3">
        <w:rPr>
          <w:rFonts w:ascii="Times New Roman" w:hAnsi="Times New Roman" w:cs="Times New Roman"/>
          <w:b/>
        </w:rPr>
        <w:t xml:space="preserve">Kohtla-Nõmme skatepargi </w:t>
      </w:r>
      <w:r w:rsidRPr="004072B3">
        <w:rPr>
          <w:rFonts w:ascii="Times New Roman" w:hAnsi="Times New Roman" w:cs="Times New Roman"/>
        </w:rPr>
        <w:t>rajamine</w:t>
      </w:r>
      <w:r>
        <w:rPr>
          <w:rFonts w:ascii="Times New Roman" w:hAnsi="Times New Roman" w:cs="Times New Roman"/>
        </w:rPr>
        <w:t>.</w:t>
      </w:r>
    </w:p>
    <w:p w:rsidR="00605A4A" w:rsidRPr="00AC7DBC" w:rsidRDefault="004072B3" w:rsidP="00A369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Juurdeveo 5a </w:t>
      </w:r>
      <w:r w:rsidR="00B72A8F" w:rsidRPr="004072B3">
        <w:rPr>
          <w:rFonts w:ascii="Times New Roman" w:hAnsi="Times New Roman" w:cs="Times New Roman"/>
        </w:rPr>
        <w:t>lammutamine.</w:t>
      </w:r>
    </w:p>
    <w:p w:rsidR="00263A17" w:rsidRPr="00AC7DBC" w:rsidRDefault="006A0944" w:rsidP="00263A17">
      <w:pPr>
        <w:pStyle w:val="Pealkiri1"/>
        <w:spacing w:line="360" w:lineRule="auto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AC7DBC">
        <w:rPr>
          <w:rFonts w:ascii="Times New Roman" w:hAnsi="Times New Roman" w:cs="Times New Roman"/>
          <w:color w:val="00B050"/>
          <w:sz w:val="22"/>
          <w:szCs w:val="22"/>
        </w:rPr>
        <w:t>Põhitegevuse tulud</w:t>
      </w:r>
      <w:r w:rsidRPr="00AC7DBC">
        <w:rPr>
          <w:rStyle w:val="FootnoteReference"/>
          <w:rFonts w:ascii="Times New Roman" w:hAnsi="Times New Roman" w:cs="Times New Roman"/>
          <w:color w:val="00B050"/>
          <w:sz w:val="22"/>
          <w:szCs w:val="22"/>
        </w:rPr>
        <w:footnoteReference w:id="1"/>
      </w:r>
    </w:p>
    <w:p w:rsidR="00531115" w:rsidRPr="00AC7DBC" w:rsidRDefault="006A0944" w:rsidP="00263A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>201</w:t>
      </w:r>
      <w:r w:rsidR="001C40D1">
        <w:rPr>
          <w:rFonts w:ascii="Times New Roman" w:hAnsi="Times New Roman" w:cs="Times New Roman"/>
          <w:b/>
        </w:rPr>
        <w:t>7</w:t>
      </w:r>
      <w:r w:rsidRPr="00AC7DBC">
        <w:rPr>
          <w:rFonts w:ascii="Times New Roman" w:hAnsi="Times New Roman" w:cs="Times New Roman"/>
          <w:b/>
        </w:rPr>
        <w:t>.</w:t>
      </w:r>
      <w:r w:rsidR="001A087F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aasta eelarves on planeeritud </w:t>
      </w:r>
      <w:r w:rsidR="00A3692E" w:rsidRPr="00AC7DBC">
        <w:rPr>
          <w:rFonts w:ascii="Times New Roman" w:hAnsi="Times New Roman" w:cs="Times New Roman"/>
          <w:b/>
        </w:rPr>
        <w:t xml:space="preserve">põhitegevuse </w:t>
      </w:r>
      <w:r w:rsidRPr="00AC7DBC">
        <w:rPr>
          <w:rFonts w:ascii="Times New Roman" w:hAnsi="Times New Roman" w:cs="Times New Roman"/>
          <w:b/>
        </w:rPr>
        <w:t xml:space="preserve">tulud </w:t>
      </w:r>
      <w:r w:rsidR="001C40D1">
        <w:rPr>
          <w:rFonts w:ascii="Times New Roman" w:hAnsi="Times New Roman" w:cs="Times New Roman"/>
          <w:b/>
        </w:rPr>
        <w:t>1,7</w:t>
      </w:r>
      <w:r w:rsidR="00A3692E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miljonit eurot. See on </w:t>
      </w:r>
      <w:r w:rsidR="001C40D1">
        <w:rPr>
          <w:rFonts w:ascii="Times New Roman" w:hAnsi="Times New Roman" w:cs="Times New Roman"/>
          <w:b/>
        </w:rPr>
        <w:t>51,6</w:t>
      </w:r>
      <w:r w:rsidR="00531115" w:rsidRPr="00AC7DBC">
        <w:rPr>
          <w:rFonts w:ascii="Times New Roman" w:hAnsi="Times New Roman" w:cs="Times New Roman"/>
          <w:b/>
        </w:rPr>
        <w:t xml:space="preserve"> tuhat</w:t>
      </w:r>
      <w:r w:rsidRPr="00AC7DBC">
        <w:rPr>
          <w:rFonts w:ascii="Times New Roman" w:hAnsi="Times New Roman" w:cs="Times New Roman"/>
          <w:b/>
        </w:rPr>
        <w:t xml:space="preserve"> eurot ehk </w:t>
      </w:r>
      <w:r w:rsidR="001C40D1">
        <w:rPr>
          <w:rFonts w:ascii="Times New Roman" w:hAnsi="Times New Roman" w:cs="Times New Roman"/>
          <w:b/>
        </w:rPr>
        <w:t>3,2</w:t>
      </w:r>
      <w:r w:rsidRPr="00AC7DBC">
        <w:rPr>
          <w:rFonts w:ascii="Times New Roman" w:hAnsi="Times New Roman" w:cs="Times New Roman"/>
          <w:b/>
        </w:rPr>
        <w:t>% enam kui 201</w:t>
      </w:r>
      <w:r w:rsidR="001C40D1">
        <w:rPr>
          <w:rFonts w:ascii="Times New Roman" w:hAnsi="Times New Roman" w:cs="Times New Roman"/>
          <w:b/>
        </w:rPr>
        <w:t>6</w:t>
      </w:r>
      <w:r w:rsidRPr="00AC7DBC">
        <w:rPr>
          <w:rFonts w:ascii="Times New Roman" w:hAnsi="Times New Roman" w:cs="Times New Roman"/>
          <w:b/>
        </w:rPr>
        <w:t>.</w:t>
      </w:r>
      <w:r w:rsidR="001A087F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aasta eelarve täitmine. </w:t>
      </w:r>
    </w:p>
    <w:p w:rsidR="006A0944" w:rsidRPr="00AC7DBC" w:rsidRDefault="003C068D" w:rsidP="006A09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Eelarve tuludest 37,0% ehk 611,9</w:t>
      </w:r>
      <w:r w:rsidR="00531115" w:rsidRPr="00AC7DBC">
        <w:rPr>
          <w:rFonts w:ascii="Times New Roman" w:hAnsi="Times New Roman" w:cs="Times New Roman"/>
          <w:color w:val="000000" w:themeColor="text1"/>
        </w:rPr>
        <w:t xml:space="preserve"> tuh</w:t>
      </w:r>
      <w:r w:rsidR="001A087F" w:rsidRPr="00AC7DBC">
        <w:rPr>
          <w:rFonts w:ascii="Times New Roman" w:hAnsi="Times New Roman" w:cs="Times New Roman"/>
          <w:color w:val="000000" w:themeColor="text1"/>
        </w:rPr>
        <w:t>at</w:t>
      </w:r>
      <w:r w:rsidR="00531115" w:rsidRPr="00AC7DBC">
        <w:rPr>
          <w:rFonts w:ascii="Times New Roman" w:hAnsi="Times New Roman" w:cs="Times New Roman"/>
          <w:color w:val="000000" w:themeColor="text1"/>
        </w:rPr>
        <w:t xml:space="preserve"> eurot moodustavad maksutulud</w:t>
      </w:r>
      <w:r w:rsidR="00034698">
        <w:rPr>
          <w:rFonts w:ascii="Times New Roman" w:hAnsi="Times New Roman" w:cs="Times New Roman"/>
          <w:color w:val="000000" w:themeColor="text1"/>
        </w:rPr>
        <w:t xml:space="preserve"> (võrreldes eelmise aasta</w:t>
      </w:r>
      <w:r w:rsidR="006A0944" w:rsidRPr="00AC7DBC">
        <w:rPr>
          <w:rFonts w:ascii="Times New Roman" w:hAnsi="Times New Roman" w:cs="Times New Roman"/>
          <w:color w:val="000000" w:themeColor="text1"/>
        </w:rPr>
        <w:t xml:space="preserve"> </w:t>
      </w:r>
      <w:r w:rsidR="00531115" w:rsidRPr="00AC7DBC">
        <w:rPr>
          <w:rFonts w:ascii="Times New Roman" w:hAnsi="Times New Roman" w:cs="Times New Roman"/>
          <w:color w:val="000000" w:themeColor="text1"/>
        </w:rPr>
        <w:t xml:space="preserve">täitmisega </w:t>
      </w:r>
      <w:r w:rsidR="009B334C" w:rsidRPr="00AC7DBC">
        <w:rPr>
          <w:rFonts w:ascii="Times New Roman" w:hAnsi="Times New Roman" w:cs="Times New Roman"/>
          <w:color w:val="000000" w:themeColor="text1"/>
        </w:rPr>
        <w:t>kasv</w:t>
      </w:r>
      <w:r w:rsidR="00BB29D3">
        <w:rPr>
          <w:rFonts w:ascii="Times New Roman" w:hAnsi="Times New Roman" w:cs="Times New Roman"/>
          <w:color w:val="000000" w:themeColor="text1"/>
        </w:rPr>
        <w:t xml:space="preserve"> </w:t>
      </w:r>
      <w:r w:rsidR="006A0944" w:rsidRPr="00AC7DBC">
        <w:rPr>
          <w:rFonts w:ascii="Times New Roman" w:hAnsi="Times New Roman" w:cs="Times New Roman"/>
          <w:color w:val="000000" w:themeColor="text1"/>
        </w:rPr>
        <w:t>+2</w:t>
      </w:r>
      <w:r w:rsidR="00531115" w:rsidRPr="00AC7DBC">
        <w:rPr>
          <w:rFonts w:ascii="Times New Roman" w:hAnsi="Times New Roman" w:cs="Times New Roman"/>
          <w:color w:val="000000" w:themeColor="text1"/>
        </w:rPr>
        <w:t>,3</w:t>
      </w:r>
      <w:r w:rsidR="00773DC5" w:rsidRPr="00AC7DBC">
        <w:rPr>
          <w:rFonts w:ascii="Times New Roman" w:hAnsi="Times New Roman" w:cs="Times New Roman"/>
          <w:color w:val="000000" w:themeColor="text1"/>
        </w:rPr>
        <w:t>%</w:t>
      </w:r>
      <w:r w:rsidR="001A087F" w:rsidRPr="00AC7DBC">
        <w:rPr>
          <w:rFonts w:ascii="Times New Roman" w:hAnsi="Times New Roman" w:cs="Times New Roman"/>
          <w:color w:val="000000" w:themeColor="text1"/>
        </w:rPr>
        <w:t>)</w:t>
      </w:r>
      <w:r w:rsidR="006A0944" w:rsidRPr="00AC7DBC">
        <w:rPr>
          <w:rStyle w:val="FootnoteReference"/>
          <w:rFonts w:ascii="Times New Roman" w:hAnsi="Times New Roman" w:cs="Times New Roman"/>
          <w:color w:val="000000" w:themeColor="text1"/>
        </w:rPr>
        <w:footnoteReference w:id="2"/>
      </w:r>
      <w:r w:rsidR="00773DC5" w:rsidRPr="00AC7DBC">
        <w:rPr>
          <w:rFonts w:ascii="Times New Roman" w:hAnsi="Times New Roman" w:cs="Times New Roman"/>
          <w:color w:val="000000" w:themeColor="text1"/>
        </w:rPr>
        <w:t>.</w:t>
      </w:r>
    </w:p>
    <w:p w:rsidR="003C068D" w:rsidRDefault="006A0944" w:rsidP="006A09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C068D">
        <w:rPr>
          <w:rFonts w:ascii="Times New Roman" w:hAnsi="Times New Roman" w:cs="Times New Roman"/>
          <w:color w:val="000000" w:themeColor="text1"/>
        </w:rPr>
        <w:t>Kaupade ja teenuste müügist</w:t>
      </w:r>
      <w:r w:rsidR="003C068D" w:rsidRPr="003C068D">
        <w:rPr>
          <w:rFonts w:ascii="Times New Roman" w:hAnsi="Times New Roman" w:cs="Times New Roman"/>
          <w:color w:val="000000" w:themeColor="text1"/>
        </w:rPr>
        <w:t xml:space="preserve"> kogutakse eelarvesse 30,8% ehk 510,1</w:t>
      </w:r>
      <w:r w:rsidR="00531115" w:rsidRPr="003C068D">
        <w:rPr>
          <w:rFonts w:ascii="Times New Roman" w:hAnsi="Times New Roman" w:cs="Times New Roman"/>
          <w:color w:val="000000" w:themeColor="text1"/>
        </w:rPr>
        <w:t xml:space="preserve"> tuhat</w:t>
      </w:r>
      <w:r w:rsidRPr="003C068D">
        <w:rPr>
          <w:rFonts w:ascii="Times New Roman" w:hAnsi="Times New Roman" w:cs="Times New Roman"/>
          <w:color w:val="000000" w:themeColor="text1"/>
        </w:rPr>
        <w:t xml:space="preserve"> eurot</w:t>
      </w:r>
      <w:r w:rsidR="00B06CFB" w:rsidRPr="003C068D">
        <w:rPr>
          <w:rFonts w:ascii="Times New Roman" w:hAnsi="Times New Roman" w:cs="Times New Roman"/>
          <w:color w:val="000000" w:themeColor="text1"/>
        </w:rPr>
        <w:t>, mis on vähenenud võrreld</w:t>
      </w:r>
      <w:r w:rsidR="003C068D" w:rsidRPr="003C068D">
        <w:rPr>
          <w:rFonts w:ascii="Times New Roman" w:hAnsi="Times New Roman" w:cs="Times New Roman"/>
          <w:color w:val="000000" w:themeColor="text1"/>
        </w:rPr>
        <w:t>es eelneva aasta täitmisega -1,6</w:t>
      </w:r>
      <w:r w:rsidR="00F95B1C" w:rsidRPr="003C068D">
        <w:rPr>
          <w:rFonts w:ascii="Times New Roman" w:hAnsi="Times New Roman" w:cs="Times New Roman"/>
          <w:color w:val="000000" w:themeColor="text1"/>
        </w:rPr>
        <w:t xml:space="preserve">%. </w:t>
      </w:r>
      <w:r w:rsidR="003C068D">
        <w:rPr>
          <w:rFonts w:ascii="Times New Roman" w:hAnsi="Times New Roman" w:cs="Times New Roman"/>
          <w:color w:val="000000" w:themeColor="text1"/>
        </w:rPr>
        <w:t>Vähenevad tulud haridusalasest tegevusest -3,6 tuhat eurot (2016. a  laekusid jooksvalt täiendavad tulud tegevuskuludeks</w:t>
      </w:r>
      <w:r w:rsidR="00263A17">
        <w:rPr>
          <w:rFonts w:ascii="Times New Roman" w:hAnsi="Times New Roman" w:cs="Times New Roman"/>
          <w:color w:val="000000" w:themeColor="text1"/>
        </w:rPr>
        <w:t>) ja sotsiaalasutuste majan</w:t>
      </w:r>
      <w:r w:rsidR="003C068D">
        <w:rPr>
          <w:rFonts w:ascii="Times New Roman" w:hAnsi="Times New Roman" w:cs="Times New Roman"/>
          <w:color w:val="000000" w:themeColor="text1"/>
        </w:rPr>
        <w:t>dustegevusest ( lastekodu sai aasta lõpus lisaraha maavalitsuselt).</w:t>
      </w:r>
    </w:p>
    <w:p w:rsidR="00263A17" w:rsidRPr="00F575A6" w:rsidRDefault="006A0944" w:rsidP="00712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C068D">
        <w:rPr>
          <w:rFonts w:ascii="Times New Roman" w:hAnsi="Times New Roman" w:cs="Times New Roman"/>
          <w:color w:val="000000" w:themeColor="text1"/>
        </w:rPr>
        <w:t xml:space="preserve">Saadud toetused </w:t>
      </w:r>
      <w:r w:rsidR="00B06CFB" w:rsidRPr="003C068D">
        <w:rPr>
          <w:rFonts w:ascii="Times New Roman" w:hAnsi="Times New Roman" w:cs="Times New Roman"/>
          <w:color w:val="000000" w:themeColor="text1"/>
        </w:rPr>
        <w:t xml:space="preserve">jooksvateks kuludeks </w:t>
      </w:r>
      <w:r w:rsidRPr="003C068D">
        <w:rPr>
          <w:rFonts w:ascii="Times New Roman" w:hAnsi="Times New Roman" w:cs="Times New Roman"/>
          <w:color w:val="000000" w:themeColor="text1"/>
        </w:rPr>
        <w:t xml:space="preserve">moodustavad eelarve tuludest </w:t>
      </w:r>
      <w:r w:rsidR="00263A17">
        <w:rPr>
          <w:rFonts w:ascii="Times New Roman" w:hAnsi="Times New Roman" w:cs="Times New Roman"/>
          <w:color w:val="000000" w:themeColor="text1"/>
        </w:rPr>
        <w:t>4,4</w:t>
      </w:r>
      <w:r w:rsidR="00B06CFB" w:rsidRPr="003C068D">
        <w:rPr>
          <w:rFonts w:ascii="Times New Roman" w:hAnsi="Times New Roman" w:cs="Times New Roman"/>
          <w:color w:val="000000" w:themeColor="text1"/>
        </w:rPr>
        <w:t>% eh</w:t>
      </w:r>
      <w:r w:rsidR="00263A17">
        <w:rPr>
          <w:rFonts w:ascii="Times New Roman" w:hAnsi="Times New Roman" w:cs="Times New Roman"/>
          <w:color w:val="000000" w:themeColor="text1"/>
        </w:rPr>
        <w:t>k 73,5</w:t>
      </w:r>
      <w:r w:rsidR="00773DC5" w:rsidRPr="003C068D">
        <w:rPr>
          <w:rFonts w:ascii="Times New Roman" w:hAnsi="Times New Roman" w:cs="Times New Roman"/>
          <w:color w:val="000000" w:themeColor="text1"/>
        </w:rPr>
        <w:t xml:space="preserve"> tuh</w:t>
      </w:r>
      <w:r w:rsidR="001A087F" w:rsidRPr="003C068D">
        <w:rPr>
          <w:rFonts w:ascii="Times New Roman" w:hAnsi="Times New Roman" w:cs="Times New Roman"/>
          <w:color w:val="000000" w:themeColor="text1"/>
        </w:rPr>
        <w:t>at</w:t>
      </w:r>
      <w:r w:rsidR="00263A17">
        <w:rPr>
          <w:rFonts w:ascii="Times New Roman" w:hAnsi="Times New Roman" w:cs="Times New Roman"/>
          <w:color w:val="000000" w:themeColor="text1"/>
        </w:rPr>
        <w:t xml:space="preserve"> eurot, suurenemine 112,9</w:t>
      </w:r>
      <w:r w:rsidR="00B06CFB" w:rsidRPr="003C068D">
        <w:rPr>
          <w:rFonts w:ascii="Times New Roman" w:hAnsi="Times New Roman" w:cs="Times New Roman"/>
          <w:color w:val="000000" w:themeColor="text1"/>
        </w:rPr>
        <w:t>%</w:t>
      </w:r>
      <w:r w:rsidR="001A087F" w:rsidRPr="003C068D">
        <w:rPr>
          <w:rFonts w:ascii="Times New Roman" w:hAnsi="Times New Roman" w:cs="Times New Roman"/>
          <w:color w:val="000000" w:themeColor="text1"/>
        </w:rPr>
        <w:t xml:space="preserve">. </w:t>
      </w:r>
      <w:r w:rsidR="00263A17">
        <w:rPr>
          <w:rFonts w:ascii="Times New Roman" w:hAnsi="Times New Roman" w:cs="Times New Roman"/>
          <w:color w:val="000000" w:themeColor="text1"/>
        </w:rPr>
        <w:t>Sellel eela</w:t>
      </w:r>
      <w:r w:rsidR="00FF6E63">
        <w:rPr>
          <w:rFonts w:ascii="Times New Roman" w:hAnsi="Times New Roman" w:cs="Times New Roman"/>
          <w:color w:val="000000" w:themeColor="text1"/>
        </w:rPr>
        <w:t>rve real kajastub ühinemistoetus</w:t>
      </w:r>
      <w:r w:rsidR="00263A17">
        <w:rPr>
          <w:rFonts w:ascii="Times New Roman" w:hAnsi="Times New Roman" w:cs="Times New Roman"/>
          <w:color w:val="000000" w:themeColor="text1"/>
        </w:rPr>
        <w:t xml:space="preserve"> 72,5 tuhat eurot.</w:t>
      </w:r>
    </w:p>
    <w:p w:rsidR="00F575A6" w:rsidRDefault="00F575A6" w:rsidP="00F575A6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F575A6" w:rsidRPr="00F575A6" w:rsidRDefault="00B06CFB" w:rsidP="00F575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575A6">
        <w:rPr>
          <w:rFonts w:ascii="Times New Roman" w:hAnsi="Times New Roman" w:cs="Times New Roman"/>
          <w:color w:val="000000" w:themeColor="text1"/>
        </w:rPr>
        <w:lastRenderedPageBreak/>
        <w:t xml:space="preserve">Saadud </w:t>
      </w:r>
      <w:r w:rsidR="00773DC5" w:rsidRPr="00F575A6">
        <w:rPr>
          <w:rFonts w:ascii="Times New Roman" w:hAnsi="Times New Roman" w:cs="Times New Roman"/>
          <w:color w:val="000000" w:themeColor="text1"/>
        </w:rPr>
        <w:t xml:space="preserve">mittesihtotstarbelised </w:t>
      </w:r>
      <w:r w:rsidRPr="00F575A6">
        <w:rPr>
          <w:rFonts w:ascii="Times New Roman" w:hAnsi="Times New Roman" w:cs="Times New Roman"/>
          <w:color w:val="000000" w:themeColor="text1"/>
        </w:rPr>
        <w:t xml:space="preserve">toetused jooksvateks kuludeks moodustavad eelarve tuludest </w:t>
      </w:r>
      <w:r w:rsidR="00F575A6" w:rsidRPr="00F575A6">
        <w:rPr>
          <w:rFonts w:ascii="Times New Roman" w:hAnsi="Times New Roman" w:cs="Times New Roman"/>
          <w:color w:val="000000" w:themeColor="text1"/>
        </w:rPr>
        <w:t>27,5</w:t>
      </w:r>
      <w:r w:rsidRPr="00F575A6">
        <w:rPr>
          <w:rFonts w:ascii="Times New Roman" w:hAnsi="Times New Roman" w:cs="Times New Roman"/>
          <w:color w:val="000000" w:themeColor="text1"/>
        </w:rPr>
        <w:t xml:space="preserve">%, ulatudes </w:t>
      </w:r>
      <w:r w:rsidR="00F575A6" w:rsidRPr="00F575A6">
        <w:rPr>
          <w:rFonts w:ascii="Times New Roman" w:hAnsi="Times New Roman" w:cs="Times New Roman"/>
          <w:color w:val="000000" w:themeColor="text1"/>
        </w:rPr>
        <w:t>455,1</w:t>
      </w:r>
      <w:r w:rsidR="00773DC5" w:rsidRPr="00F575A6">
        <w:rPr>
          <w:rFonts w:ascii="Times New Roman" w:hAnsi="Times New Roman" w:cs="Times New Roman"/>
          <w:color w:val="000000" w:themeColor="text1"/>
        </w:rPr>
        <w:t xml:space="preserve"> tuh</w:t>
      </w:r>
      <w:r w:rsidR="001A087F" w:rsidRPr="00F575A6">
        <w:rPr>
          <w:rFonts w:ascii="Times New Roman" w:hAnsi="Times New Roman" w:cs="Times New Roman"/>
          <w:color w:val="000000" w:themeColor="text1"/>
        </w:rPr>
        <w:t>a</w:t>
      </w:r>
      <w:r w:rsidR="00F95B1C" w:rsidRPr="00F575A6">
        <w:rPr>
          <w:rFonts w:ascii="Times New Roman" w:hAnsi="Times New Roman" w:cs="Times New Roman"/>
          <w:color w:val="000000" w:themeColor="text1"/>
        </w:rPr>
        <w:t>nde</w:t>
      </w:r>
      <w:r w:rsidR="00773DC5" w:rsidRPr="00F575A6">
        <w:rPr>
          <w:rFonts w:ascii="Times New Roman" w:hAnsi="Times New Roman" w:cs="Times New Roman"/>
          <w:color w:val="000000" w:themeColor="text1"/>
        </w:rPr>
        <w:t xml:space="preserve"> euro</w:t>
      </w:r>
      <w:r w:rsidR="00F95B1C" w:rsidRPr="00F575A6">
        <w:rPr>
          <w:rFonts w:ascii="Times New Roman" w:hAnsi="Times New Roman" w:cs="Times New Roman"/>
          <w:color w:val="000000" w:themeColor="text1"/>
        </w:rPr>
        <w:t>ni</w:t>
      </w:r>
      <w:r w:rsidR="00F575A6" w:rsidRPr="00F575A6">
        <w:rPr>
          <w:rFonts w:ascii="Times New Roman" w:hAnsi="Times New Roman" w:cs="Times New Roman"/>
          <w:color w:val="000000" w:themeColor="text1"/>
        </w:rPr>
        <w:t>, suurenemine +1,8</w:t>
      </w:r>
      <w:r w:rsidR="00773DC5" w:rsidRPr="00F575A6">
        <w:rPr>
          <w:rFonts w:ascii="Times New Roman" w:hAnsi="Times New Roman" w:cs="Times New Roman"/>
          <w:color w:val="000000" w:themeColor="text1"/>
        </w:rPr>
        <w:t>%</w:t>
      </w:r>
      <w:r w:rsidRPr="00F575A6">
        <w:rPr>
          <w:rFonts w:ascii="Times New Roman" w:hAnsi="Times New Roman" w:cs="Times New Roman"/>
          <w:color w:val="000000" w:themeColor="text1"/>
        </w:rPr>
        <w:t xml:space="preserve">. Kasv on seotud </w:t>
      </w:r>
      <w:r w:rsidR="00F575A6">
        <w:rPr>
          <w:rFonts w:ascii="Times New Roman" w:hAnsi="Times New Roman" w:cs="Times New Roman"/>
          <w:color w:val="000000" w:themeColor="text1"/>
        </w:rPr>
        <w:t xml:space="preserve">olulises osas </w:t>
      </w:r>
      <w:r w:rsidRPr="00F575A6">
        <w:rPr>
          <w:rFonts w:ascii="Times New Roman" w:hAnsi="Times New Roman" w:cs="Times New Roman"/>
          <w:color w:val="000000" w:themeColor="text1"/>
        </w:rPr>
        <w:t>Vabariigi Valitsuse poolt kehtestatud</w:t>
      </w:r>
      <w:r w:rsidR="00F575A6" w:rsidRPr="00F575A6">
        <w:rPr>
          <w:rFonts w:ascii="Times New Roman" w:hAnsi="Times New Roman" w:cs="Times New Roman"/>
          <w:color w:val="000000" w:themeColor="text1"/>
        </w:rPr>
        <w:t xml:space="preserve"> õpetajate alammäära tõusuga 1000</w:t>
      </w:r>
      <w:r w:rsidRPr="00F575A6">
        <w:rPr>
          <w:rFonts w:ascii="Times New Roman" w:hAnsi="Times New Roman" w:cs="Times New Roman"/>
          <w:color w:val="000000" w:themeColor="text1"/>
        </w:rPr>
        <w:t xml:space="preserve"> euroni</w:t>
      </w:r>
      <w:r w:rsidR="00F575A6">
        <w:rPr>
          <w:rFonts w:ascii="Times New Roman" w:hAnsi="Times New Roman" w:cs="Times New Roman"/>
          <w:color w:val="000000" w:themeColor="text1"/>
        </w:rPr>
        <w:t>.</w:t>
      </w:r>
    </w:p>
    <w:p w:rsidR="00624EAE" w:rsidRPr="00F575A6" w:rsidRDefault="00F575A6" w:rsidP="00624E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575A6">
        <w:rPr>
          <w:rFonts w:ascii="Times New Roman" w:hAnsi="Times New Roman" w:cs="Times New Roman"/>
          <w:color w:val="000000" w:themeColor="text1"/>
        </w:rPr>
        <w:t xml:space="preserve"> </w:t>
      </w:r>
      <w:r w:rsidR="006A0944" w:rsidRPr="00F575A6">
        <w:rPr>
          <w:rFonts w:ascii="Times New Roman" w:hAnsi="Times New Roman" w:cs="Times New Roman"/>
          <w:color w:val="000000" w:themeColor="text1"/>
        </w:rPr>
        <w:t xml:space="preserve">Muud tulud (maamaks, keskkonnatasud jms) moodustavad eelarve tuludest </w:t>
      </w:r>
      <w:r w:rsidR="00773DC5" w:rsidRPr="00F575A6">
        <w:rPr>
          <w:rFonts w:ascii="Times New Roman" w:hAnsi="Times New Roman" w:cs="Times New Roman"/>
          <w:color w:val="000000" w:themeColor="text1"/>
        </w:rPr>
        <w:t>0,2</w:t>
      </w:r>
      <w:r w:rsidR="006A0944" w:rsidRPr="00F575A6">
        <w:rPr>
          <w:rFonts w:ascii="Times New Roman" w:hAnsi="Times New Roman" w:cs="Times New Roman"/>
          <w:color w:val="000000" w:themeColor="text1"/>
        </w:rPr>
        <w:t xml:space="preserve">% ehk </w:t>
      </w:r>
      <w:r>
        <w:rPr>
          <w:rFonts w:ascii="Times New Roman" w:hAnsi="Times New Roman" w:cs="Times New Roman"/>
          <w:color w:val="000000" w:themeColor="text1"/>
        </w:rPr>
        <w:t>3,1</w:t>
      </w:r>
      <w:r w:rsidR="00773DC5" w:rsidRPr="00F575A6">
        <w:rPr>
          <w:rFonts w:ascii="Times New Roman" w:hAnsi="Times New Roman" w:cs="Times New Roman"/>
          <w:color w:val="000000" w:themeColor="text1"/>
        </w:rPr>
        <w:t xml:space="preserve"> tuh</w:t>
      </w:r>
      <w:r w:rsidR="005473D7" w:rsidRPr="00F575A6">
        <w:rPr>
          <w:rFonts w:ascii="Times New Roman" w:hAnsi="Times New Roman" w:cs="Times New Roman"/>
          <w:color w:val="000000" w:themeColor="text1"/>
        </w:rPr>
        <w:t>at</w:t>
      </w:r>
      <w:r w:rsidR="006A0944" w:rsidRPr="00F575A6">
        <w:rPr>
          <w:rFonts w:ascii="Times New Roman" w:hAnsi="Times New Roman" w:cs="Times New Roman"/>
          <w:color w:val="000000" w:themeColor="text1"/>
        </w:rPr>
        <w:t xml:space="preserve"> eurot</w:t>
      </w:r>
      <w:r w:rsidR="00FE01F1" w:rsidRPr="00F575A6">
        <w:rPr>
          <w:rFonts w:ascii="Times New Roman" w:hAnsi="Times New Roman" w:cs="Times New Roman"/>
          <w:color w:val="000000" w:themeColor="text1"/>
        </w:rPr>
        <w:t xml:space="preserve">.  </w:t>
      </w:r>
    </w:p>
    <w:p w:rsidR="00624EAE" w:rsidRDefault="00624EAE" w:rsidP="00624EAE">
      <w:pPr>
        <w:pStyle w:val="ListParagraph"/>
        <w:jc w:val="both"/>
        <w:rPr>
          <w:noProof/>
          <w:lang w:eastAsia="et-EE"/>
        </w:rPr>
      </w:pPr>
    </w:p>
    <w:p w:rsidR="0071268B" w:rsidRDefault="0071268B" w:rsidP="00624EAE">
      <w:pPr>
        <w:pStyle w:val="ListParagraph"/>
        <w:jc w:val="both"/>
        <w:rPr>
          <w:noProof/>
          <w:lang w:eastAsia="et-EE"/>
        </w:rPr>
      </w:pPr>
    </w:p>
    <w:p w:rsidR="0071268B" w:rsidRPr="00D05A19" w:rsidRDefault="0071268B" w:rsidP="00D05A19">
      <w:pPr>
        <w:pStyle w:val="ListParagraph"/>
        <w:jc w:val="both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61E9E466" wp14:editId="64EBF5FE">
            <wp:extent cx="5248275" cy="2743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77C6" w:rsidRPr="00AC7DBC" w:rsidRDefault="006A0944" w:rsidP="006A0944">
      <w:pPr>
        <w:pStyle w:val="Pealkiri1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AC7DBC">
        <w:rPr>
          <w:rFonts w:ascii="Times New Roman" w:hAnsi="Times New Roman" w:cs="Times New Roman"/>
          <w:color w:val="00B050"/>
          <w:sz w:val="22"/>
          <w:szCs w:val="22"/>
        </w:rPr>
        <w:t>Põhitegevuse kulud</w:t>
      </w:r>
      <w:r w:rsidRPr="00AC7DBC">
        <w:rPr>
          <w:rStyle w:val="FootnoteReference"/>
          <w:rFonts w:ascii="Times New Roman" w:hAnsi="Times New Roman" w:cs="Times New Roman"/>
          <w:color w:val="00B050"/>
          <w:sz w:val="22"/>
          <w:szCs w:val="22"/>
        </w:rPr>
        <w:footnoteReference w:id="3"/>
      </w:r>
    </w:p>
    <w:p w:rsidR="00FE01F1" w:rsidRPr="00AC7DBC" w:rsidRDefault="006A0944" w:rsidP="006A0944">
      <w:p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>201</w:t>
      </w:r>
      <w:r w:rsidR="00D05A19">
        <w:rPr>
          <w:rFonts w:ascii="Times New Roman" w:hAnsi="Times New Roman" w:cs="Times New Roman"/>
          <w:b/>
        </w:rPr>
        <w:t>7</w:t>
      </w:r>
      <w:r w:rsidRPr="00AC7DBC">
        <w:rPr>
          <w:rFonts w:ascii="Times New Roman" w:hAnsi="Times New Roman" w:cs="Times New Roman"/>
          <w:b/>
        </w:rPr>
        <w:t>.</w:t>
      </w:r>
      <w:r w:rsidR="001A087F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aasta eelarves on planeeritud põhitegevuse kulud </w:t>
      </w:r>
      <w:r w:rsidR="00D05A19">
        <w:rPr>
          <w:rFonts w:ascii="Times New Roman" w:hAnsi="Times New Roman" w:cs="Times New Roman"/>
          <w:b/>
        </w:rPr>
        <w:t>1,7</w:t>
      </w:r>
      <w:r w:rsidR="00FE01F1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miljonit eurot. See on </w:t>
      </w:r>
      <w:r w:rsidR="00D05A19">
        <w:rPr>
          <w:rFonts w:ascii="Times New Roman" w:hAnsi="Times New Roman" w:cs="Times New Roman"/>
          <w:b/>
        </w:rPr>
        <w:t>204,7</w:t>
      </w:r>
      <w:r w:rsidRPr="00AC7DBC">
        <w:rPr>
          <w:rFonts w:ascii="Times New Roman" w:hAnsi="Times New Roman" w:cs="Times New Roman"/>
          <w:b/>
        </w:rPr>
        <w:t xml:space="preserve"> </w:t>
      </w:r>
      <w:r w:rsidR="00FE01F1" w:rsidRPr="00AC7DBC">
        <w:rPr>
          <w:rFonts w:ascii="Times New Roman" w:hAnsi="Times New Roman" w:cs="Times New Roman"/>
          <w:b/>
        </w:rPr>
        <w:t>tuh</w:t>
      </w:r>
      <w:r w:rsidR="005473D7" w:rsidRPr="00AC7DBC">
        <w:rPr>
          <w:rFonts w:ascii="Times New Roman" w:hAnsi="Times New Roman" w:cs="Times New Roman"/>
          <w:b/>
        </w:rPr>
        <w:t>at</w:t>
      </w:r>
      <w:r w:rsidRPr="00AC7DBC">
        <w:rPr>
          <w:rFonts w:ascii="Times New Roman" w:hAnsi="Times New Roman" w:cs="Times New Roman"/>
          <w:b/>
        </w:rPr>
        <w:t xml:space="preserve"> eurot ehk </w:t>
      </w:r>
      <w:r w:rsidR="00D05A19">
        <w:rPr>
          <w:rFonts w:ascii="Times New Roman" w:hAnsi="Times New Roman" w:cs="Times New Roman"/>
          <w:b/>
        </w:rPr>
        <w:t>14,1</w:t>
      </w:r>
      <w:r w:rsidRPr="00AC7DBC">
        <w:rPr>
          <w:rFonts w:ascii="Times New Roman" w:hAnsi="Times New Roman" w:cs="Times New Roman"/>
          <w:b/>
        </w:rPr>
        <w:t>% enam kui 201</w:t>
      </w:r>
      <w:r w:rsidR="00D05A19">
        <w:rPr>
          <w:rFonts w:ascii="Times New Roman" w:hAnsi="Times New Roman" w:cs="Times New Roman"/>
          <w:b/>
        </w:rPr>
        <w:t>6</w:t>
      </w:r>
      <w:r w:rsidRPr="00AC7DBC">
        <w:rPr>
          <w:rFonts w:ascii="Times New Roman" w:hAnsi="Times New Roman" w:cs="Times New Roman"/>
          <w:b/>
        </w:rPr>
        <w:t>.</w:t>
      </w:r>
      <w:r w:rsidR="000575DD" w:rsidRPr="00AC7DBC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aasta eelarve täitmine. </w:t>
      </w:r>
    </w:p>
    <w:p w:rsidR="006A0944" w:rsidRPr="00AC7DBC" w:rsidRDefault="006A0944" w:rsidP="006A0944">
      <w:p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>Põhitegevu</w:t>
      </w:r>
      <w:r w:rsidR="008E0253" w:rsidRPr="00AC7DBC">
        <w:rPr>
          <w:rFonts w:ascii="Times New Roman" w:hAnsi="Times New Roman" w:cs="Times New Roman"/>
          <w:b/>
        </w:rPr>
        <w:t>se kulud jaotuvad peamiselt kuue</w:t>
      </w:r>
      <w:r w:rsidRPr="00AC7DBC">
        <w:rPr>
          <w:rFonts w:ascii="Times New Roman" w:hAnsi="Times New Roman" w:cs="Times New Roman"/>
          <w:b/>
        </w:rPr>
        <w:t xml:space="preserve"> </w:t>
      </w:r>
      <w:r w:rsidR="008E0253" w:rsidRPr="00AC7DBC">
        <w:rPr>
          <w:rFonts w:ascii="Times New Roman" w:hAnsi="Times New Roman" w:cs="Times New Roman"/>
          <w:b/>
        </w:rPr>
        <w:t>tegevusvaldkonna</w:t>
      </w:r>
      <w:r w:rsidRPr="00AC7DBC">
        <w:rPr>
          <w:rFonts w:ascii="Times New Roman" w:hAnsi="Times New Roman" w:cs="Times New Roman"/>
          <w:b/>
        </w:rPr>
        <w:t xml:space="preserve"> vahel järgmiselt:</w:t>
      </w:r>
    </w:p>
    <w:p w:rsidR="006A0944" w:rsidRPr="00AC7DBC" w:rsidRDefault="008E0253" w:rsidP="00A621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 xml:space="preserve">Hariduskuludeks </w:t>
      </w:r>
      <w:r w:rsidR="006A0944" w:rsidRPr="00AC7DBC">
        <w:rPr>
          <w:rFonts w:ascii="Times New Roman" w:hAnsi="Times New Roman" w:cs="Times New Roman"/>
          <w:b/>
        </w:rPr>
        <w:t xml:space="preserve"> </w:t>
      </w:r>
      <w:r w:rsidR="006A0944" w:rsidRPr="00AC7DBC">
        <w:rPr>
          <w:rFonts w:ascii="Times New Roman" w:hAnsi="Times New Roman" w:cs="Times New Roman"/>
        </w:rPr>
        <w:t xml:space="preserve">kulub </w:t>
      </w:r>
      <w:r w:rsidR="00B9722B">
        <w:rPr>
          <w:rFonts w:ascii="Times New Roman" w:hAnsi="Times New Roman" w:cs="Times New Roman"/>
        </w:rPr>
        <w:t>39,6</w:t>
      </w:r>
      <w:r w:rsidR="006A0944" w:rsidRPr="00AC7DBC">
        <w:rPr>
          <w:rFonts w:ascii="Times New Roman" w:hAnsi="Times New Roman" w:cs="Times New Roman"/>
        </w:rPr>
        <w:t xml:space="preserve">% ehk </w:t>
      </w:r>
      <w:r w:rsidR="00B9722B">
        <w:rPr>
          <w:rFonts w:ascii="Times New Roman" w:hAnsi="Times New Roman" w:cs="Times New Roman"/>
        </w:rPr>
        <w:t xml:space="preserve"> 655,2</w:t>
      </w:r>
      <w:r w:rsidR="006A0944" w:rsidRPr="00AC7DBC">
        <w:rPr>
          <w:rFonts w:ascii="Times New Roman" w:hAnsi="Times New Roman" w:cs="Times New Roman"/>
        </w:rPr>
        <w:t xml:space="preserve"> </w:t>
      </w:r>
      <w:r w:rsidRPr="00AC7DBC">
        <w:rPr>
          <w:rFonts w:ascii="Times New Roman" w:hAnsi="Times New Roman" w:cs="Times New Roman"/>
        </w:rPr>
        <w:t>tuh</w:t>
      </w:r>
      <w:r w:rsidR="005473D7" w:rsidRPr="00AC7DBC">
        <w:rPr>
          <w:rFonts w:ascii="Times New Roman" w:hAnsi="Times New Roman" w:cs="Times New Roman"/>
        </w:rPr>
        <w:t>at</w:t>
      </w:r>
      <w:r w:rsidRPr="00AC7DBC">
        <w:rPr>
          <w:rFonts w:ascii="Times New Roman" w:hAnsi="Times New Roman" w:cs="Times New Roman"/>
        </w:rPr>
        <w:t xml:space="preserve"> </w:t>
      </w:r>
      <w:r w:rsidR="001A087F" w:rsidRPr="00AC7DBC">
        <w:rPr>
          <w:rFonts w:ascii="Times New Roman" w:hAnsi="Times New Roman" w:cs="Times New Roman"/>
        </w:rPr>
        <w:t xml:space="preserve"> </w:t>
      </w:r>
      <w:r w:rsidR="006A0944" w:rsidRPr="00AC7DBC">
        <w:rPr>
          <w:rFonts w:ascii="Times New Roman" w:hAnsi="Times New Roman" w:cs="Times New Roman"/>
        </w:rPr>
        <w:t>eurot</w:t>
      </w:r>
      <w:r w:rsidRPr="00AC7DBC">
        <w:rPr>
          <w:rFonts w:ascii="Times New Roman" w:hAnsi="Times New Roman" w:cs="Times New Roman"/>
        </w:rPr>
        <w:t>. Võrreldes eelneva aasta täitmisega</w:t>
      </w:r>
      <w:r w:rsidR="00B9722B">
        <w:rPr>
          <w:rFonts w:ascii="Times New Roman" w:hAnsi="Times New Roman" w:cs="Times New Roman"/>
        </w:rPr>
        <w:t xml:space="preserve"> suureneb valdkonna eelarve 52,1</w:t>
      </w:r>
      <w:r w:rsidRPr="00AC7DBC">
        <w:rPr>
          <w:rFonts w:ascii="Times New Roman" w:hAnsi="Times New Roman" w:cs="Times New Roman"/>
        </w:rPr>
        <w:t xml:space="preserve"> tuh</w:t>
      </w:r>
      <w:r w:rsidR="005473D7" w:rsidRPr="00AC7DBC">
        <w:rPr>
          <w:rFonts w:ascii="Times New Roman" w:hAnsi="Times New Roman" w:cs="Times New Roman"/>
        </w:rPr>
        <w:t>at</w:t>
      </w:r>
      <w:r w:rsidR="00B9722B">
        <w:rPr>
          <w:rFonts w:ascii="Times New Roman" w:hAnsi="Times New Roman" w:cs="Times New Roman"/>
        </w:rPr>
        <w:t xml:space="preserve"> eurot ehk +8,6</w:t>
      </w:r>
      <w:r w:rsidRPr="00AC7DBC">
        <w:rPr>
          <w:rFonts w:ascii="Times New Roman" w:hAnsi="Times New Roman" w:cs="Times New Roman"/>
        </w:rPr>
        <w:t>%.</w:t>
      </w:r>
      <w:r w:rsidR="006A0944" w:rsidRPr="00AC7DBC">
        <w:rPr>
          <w:rFonts w:ascii="Times New Roman" w:hAnsi="Times New Roman" w:cs="Times New Roman"/>
        </w:rPr>
        <w:t xml:space="preserve"> </w:t>
      </w:r>
      <w:r w:rsidRPr="00AC7DBC">
        <w:rPr>
          <w:rFonts w:ascii="Times New Roman" w:hAnsi="Times New Roman" w:cs="Times New Roman"/>
        </w:rPr>
        <w:t>Kõige enam suur</w:t>
      </w:r>
      <w:r w:rsidR="00985B8D">
        <w:rPr>
          <w:rFonts w:ascii="Times New Roman" w:hAnsi="Times New Roman" w:cs="Times New Roman"/>
        </w:rPr>
        <w:t>en</w:t>
      </w:r>
      <w:r w:rsidRPr="00AC7DBC">
        <w:rPr>
          <w:rFonts w:ascii="Times New Roman" w:hAnsi="Times New Roman" w:cs="Times New Roman"/>
        </w:rPr>
        <w:t>e</w:t>
      </w:r>
      <w:r w:rsidR="005604FF" w:rsidRPr="00AC7DBC">
        <w:rPr>
          <w:rFonts w:ascii="Times New Roman" w:hAnsi="Times New Roman" w:cs="Times New Roman"/>
        </w:rPr>
        <w:t>b</w:t>
      </w:r>
      <w:r w:rsidRPr="00AC7DBC">
        <w:rPr>
          <w:rFonts w:ascii="Times New Roman" w:hAnsi="Times New Roman" w:cs="Times New Roman"/>
        </w:rPr>
        <w:t xml:space="preserve"> </w:t>
      </w:r>
      <w:r w:rsidR="00A621D4" w:rsidRPr="00AC7DBC">
        <w:rPr>
          <w:rFonts w:ascii="Times New Roman" w:hAnsi="Times New Roman" w:cs="Times New Roman"/>
        </w:rPr>
        <w:t xml:space="preserve">valdkonna kuludest </w:t>
      </w:r>
      <w:r w:rsidRPr="00AC7DBC">
        <w:rPr>
          <w:rFonts w:ascii="Times New Roman" w:hAnsi="Times New Roman" w:cs="Times New Roman"/>
        </w:rPr>
        <w:t xml:space="preserve">Kohtla-Nõmme </w:t>
      </w:r>
      <w:r w:rsidR="00A621D4" w:rsidRPr="00AC7DBC">
        <w:rPr>
          <w:rFonts w:ascii="Times New Roman" w:hAnsi="Times New Roman" w:cs="Times New Roman"/>
        </w:rPr>
        <w:t xml:space="preserve">Kooli </w:t>
      </w:r>
      <w:r w:rsidR="005604FF" w:rsidRPr="00AC7DBC">
        <w:rPr>
          <w:rFonts w:ascii="Times New Roman" w:hAnsi="Times New Roman" w:cs="Times New Roman"/>
        </w:rPr>
        <w:t>eelarve</w:t>
      </w:r>
      <w:r w:rsidR="00B9722B">
        <w:rPr>
          <w:rFonts w:ascii="Times New Roman" w:hAnsi="Times New Roman" w:cs="Times New Roman"/>
        </w:rPr>
        <w:t>, kasv +7,5</w:t>
      </w:r>
      <w:r w:rsidR="00A621D4" w:rsidRPr="00AC7DBC">
        <w:rPr>
          <w:rFonts w:ascii="Times New Roman" w:hAnsi="Times New Roman" w:cs="Times New Roman"/>
        </w:rPr>
        <w:t>%</w:t>
      </w:r>
      <w:r w:rsidR="001A087F" w:rsidRPr="00AC7DBC">
        <w:rPr>
          <w:rFonts w:ascii="Times New Roman" w:hAnsi="Times New Roman" w:cs="Times New Roman"/>
        </w:rPr>
        <w:t xml:space="preserve">, mis on seotud </w:t>
      </w:r>
      <w:r w:rsidR="00A621D4" w:rsidRPr="00AC7DBC">
        <w:rPr>
          <w:rFonts w:ascii="Times New Roman" w:hAnsi="Times New Roman" w:cs="Times New Roman"/>
        </w:rPr>
        <w:t>õpetajate ja töötajate palgatõusuga</w:t>
      </w:r>
      <w:r w:rsidR="0097081B" w:rsidRPr="00AC7DBC">
        <w:rPr>
          <w:rFonts w:ascii="Times New Roman" w:hAnsi="Times New Roman" w:cs="Times New Roman"/>
        </w:rPr>
        <w:t xml:space="preserve"> sh miinimumpalga tõus</w:t>
      </w:r>
      <w:r w:rsidR="00A621D4" w:rsidRPr="00AC7DBC">
        <w:rPr>
          <w:rFonts w:ascii="Times New Roman" w:hAnsi="Times New Roman" w:cs="Times New Roman"/>
        </w:rPr>
        <w:t xml:space="preserve">. </w:t>
      </w:r>
      <w:r w:rsidR="00F6359D" w:rsidRPr="00AC7DBC">
        <w:rPr>
          <w:rFonts w:ascii="Times New Roman" w:hAnsi="Times New Roman" w:cs="Times New Roman"/>
        </w:rPr>
        <w:t xml:space="preserve">Kooli eelarve moodustab </w:t>
      </w:r>
      <w:r w:rsidR="00B9722B">
        <w:rPr>
          <w:rFonts w:ascii="Times New Roman" w:hAnsi="Times New Roman" w:cs="Times New Roman"/>
        </w:rPr>
        <w:t>35</w:t>
      </w:r>
      <w:r w:rsidR="003621D3" w:rsidRPr="00AC7DBC">
        <w:rPr>
          <w:rFonts w:ascii="Times New Roman" w:hAnsi="Times New Roman" w:cs="Times New Roman"/>
        </w:rPr>
        <w:t>,3% valla eelarve põhitegevuse</w:t>
      </w:r>
      <w:r w:rsidR="00B9722B">
        <w:rPr>
          <w:rFonts w:ascii="Times New Roman" w:hAnsi="Times New Roman" w:cs="Times New Roman"/>
        </w:rPr>
        <w:t xml:space="preserve"> kuludest ehk 583,7</w:t>
      </w:r>
      <w:r w:rsidR="001013EA" w:rsidRPr="00AC7DBC">
        <w:rPr>
          <w:rFonts w:ascii="Times New Roman" w:hAnsi="Times New Roman" w:cs="Times New Roman"/>
        </w:rPr>
        <w:t xml:space="preserve"> tu</w:t>
      </w:r>
      <w:r w:rsidR="00B9722B">
        <w:rPr>
          <w:rFonts w:ascii="Times New Roman" w:hAnsi="Times New Roman" w:cs="Times New Roman"/>
        </w:rPr>
        <w:t>hat eurot, eelarvest 43,5% ehk 253,9</w:t>
      </w:r>
      <w:r w:rsidR="001013EA" w:rsidRPr="00AC7DBC">
        <w:rPr>
          <w:rFonts w:ascii="Times New Roman" w:hAnsi="Times New Roman" w:cs="Times New Roman"/>
        </w:rPr>
        <w:t xml:space="preserve"> tuhat eurot on hariduskulude toetusfondi vahendid.</w:t>
      </w:r>
      <w:r w:rsidR="003621D3" w:rsidRPr="00AC7DBC">
        <w:rPr>
          <w:rFonts w:ascii="Times New Roman" w:hAnsi="Times New Roman" w:cs="Times New Roman"/>
        </w:rPr>
        <w:t xml:space="preserve"> </w:t>
      </w:r>
      <w:r w:rsidR="00A621D4" w:rsidRPr="00AC7DBC">
        <w:rPr>
          <w:rFonts w:ascii="Times New Roman" w:hAnsi="Times New Roman" w:cs="Times New Roman"/>
        </w:rPr>
        <w:t>201</w:t>
      </w:r>
      <w:r w:rsidR="00B9722B">
        <w:rPr>
          <w:rFonts w:ascii="Times New Roman" w:hAnsi="Times New Roman" w:cs="Times New Roman"/>
        </w:rPr>
        <w:t>6</w:t>
      </w:r>
      <w:r w:rsidR="00A621D4" w:rsidRPr="00AC7DBC">
        <w:rPr>
          <w:rFonts w:ascii="Times New Roman" w:hAnsi="Times New Roman" w:cs="Times New Roman"/>
        </w:rPr>
        <w:t xml:space="preserve">. aastal </w:t>
      </w:r>
      <w:r w:rsidR="00AB1BE0" w:rsidRPr="00AC7DBC">
        <w:rPr>
          <w:rFonts w:ascii="Times New Roman" w:hAnsi="Times New Roman" w:cs="Times New Roman"/>
        </w:rPr>
        <w:t>oli kooli majand</w:t>
      </w:r>
      <w:r w:rsidR="00B9722B">
        <w:rPr>
          <w:rFonts w:ascii="Times New Roman" w:hAnsi="Times New Roman" w:cs="Times New Roman"/>
        </w:rPr>
        <w:t>amiskulude eelarve täitmine 95,3</w:t>
      </w:r>
      <w:r w:rsidR="00AB1BE0" w:rsidRPr="00AC7DBC">
        <w:rPr>
          <w:rFonts w:ascii="Times New Roman" w:hAnsi="Times New Roman" w:cs="Times New Roman"/>
        </w:rPr>
        <w:t>%,</w:t>
      </w:r>
      <w:r w:rsidR="001A087F" w:rsidRPr="00AC7DBC">
        <w:rPr>
          <w:rFonts w:ascii="Times New Roman" w:hAnsi="Times New Roman" w:cs="Times New Roman"/>
        </w:rPr>
        <w:t xml:space="preserve"> </w:t>
      </w:r>
      <w:r w:rsidR="00B9722B">
        <w:rPr>
          <w:rFonts w:ascii="Times New Roman" w:hAnsi="Times New Roman" w:cs="Times New Roman"/>
        </w:rPr>
        <w:t>personalikulude täitmine oli 98,8%</w:t>
      </w:r>
      <w:r w:rsidR="00AB1BE0" w:rsidRPr="00AC7DBC">
        <w:rPr>
          <w:rFonts w:ascii="Times New Roman" w:hAnsi="Times New Roman" w:cs="Times New Roman"/>
        </w:rPr>
        <w:t>.</w:t>
      </w:r>
      <w:r w:rsidR="00A621D4" w:rsidRPr="00AC7DBC">
        <w:rPr>
          <w:rFonts w:ascii="Times New Roman" w:hAnsi="Times New Roman" w:cs="Times New Roman"/>
        </w:rPr>
        <w:t xml:space="preserve"> </w:t>
      </w:r>
      <w:r w:rsidR="00B3587C">
        <w:rPr>
          <w:rFonts w:ascii="Times New Roman" w:hAnsi="Times New Roman" w:cs="Times New Roman"/>
        </w:rPr>
        <w:t>Hariduse v</w:t>
      </w:r>
      <w:r w:rsidR="00AB1BE0" w:rsidRPr="00AC7DBC">
        <w:rPr>
          <w:rFonts w:ascii="Times New Roman" w:hAnsi="Times New Roman" w:cs="Times New Roman"/>
        </w:rPr>
        <w:t>aldkonna</w:t>
      </w:r>
      <w:r w:rsidR="001A087F" w:rsidRPr="00AC7DBC">
        <w:rPr>
          <w:rFonts w:ascii="Times New Roman" w:hAnsi="Times New Roman" w:cs="Times New Roman"/>
        </w:rPr>
        <w:t xml:space="preserve"> eelarve suurenemine </w:t>
      </w:r>
      <w:r w:rsidR="00B3587C">
        <w:rPr>
          <w:rFonts w:ascii="Times New Roman" w:hAnsi="Times New Roman" w:cs="Times New Roman"/>
        </w:rPr>
        <w:t xml:space="preserve">on </w:t>
      </w:r>
      <w:r w:rsidR="001A087F" w:rsidRPr="00AC7DBC">
        <w:rPr>
          <w:rFonts w:ascii="Times New Roman" w:hAnsi="Times New Roman" w:cs="Times New Roman"/>
        </w:rPr>
        <w:t xml:space="preserve">seotud Kohtla-Nõmme </w:t>
      </w:r>
      <w:r w:rsidR="00AB1BE0" w:rsidRPr="00AC7DBC">
        <w:rPr>
          <w:rFonts w:ascii="Times New Roman" w:hAnsi="Times New Roman" w:cs="Times New Roman"/>
        </w:rPr>
        <w:t>valla laste õppimisega teis</w:t>
      </w:r>
      <w:r w:rsidR="001A087F" w:rsidRPr="00AC7DBC">
        <w:rPr>
          <w:rFonts w:ascii="Times New Roman" w:hAnsi="Times New Roman" w:cs="Times New Roman"/>
        </w:rPr>
        <w:t>t</w:t>
      </w:r>
      <w:r w:rsidR="00AB1BE0" w:rsidRPr="00AC7DBC">
        <w:rPr>
          <w:rFonts w:ascii="Times New Roman" w:hAnsi="Times New Roman" w:cs="Times New Roman"/>
        </w:rPr>
        <w:t>e omavalitsus</w:t>
      </w:r>
      <w:r w:rsidR="001A087F" w:rsidRPr="00AC7DBC">
        <w:rPr>
          <w:rFonts w:ascii="Times New Roman" w:hAnsi="Times New Roman" w:cs="Times New Roman"/>
        </w:rPr>
        <w:t>t</w:t>
      </w:r>
      <w:r w:rsidR="00AB1BE0" w:rsidRPr="00AC7DBC">
        <w:rPr>
          <w:rFonts w:ascii="Times New Roman" w:hAnsi="Times New Roman" w:cs="Times New Roman"/>
        </w:rPr>
        <w:t>e kooli</w:t>
      </w:r>
      <w:r w:rsidR="001A087F" w:rsidRPr="00AC7DBC">
        <w:rPr>
          <w:rFonts w:ascii="Times New Roman" w:hAnsi="Times New Roman" w:cs="Times New Roman"/>
        </w:rPr>
        <w:t>de</w:t>
      </w:r>
      <w:r w:rsidR="00AB1BE0" w:rsidRPr="00AC7DBC">
        <w:rPr>
          <w:rFonts w:ascii="Times New Roman" w:hAnsi="Times New Roman" w:cs="Times New Roman"/>
        </w:rPr>
        <w:t>s</w:t>
      </w:r>
      <w:r w:rsidR="00B3587C">
        <w:rPr>
          <w:rFonts w:ascii="Times New Roman" w:hAnsi="Times New Roman" w:cs="Times New Roman"/>
        </w:rPr>
        <w:t xml:space="preserve">, </w:t>
      </w:r>
      <w:r w:rsidR="00B9722B">
        <w:rPr>
          <w:rFonts w:ascii="Times New Roman" w:hAnsi="Times New Roman" w:cs="Times New Roman"/>
        </w:rPr>
        <w:t xml:space="preserve">suurendatud </w:t>
      </w:r>
      <w:r w:rsidR="00B3587C">
        <w:rPr>
          <w:rFonts w:ascii="Times New Roman" w:hAnsi="Times New Roman" w:cs="Times New Roman"/>
        </w:rPr>
        <w:t>on eelarverida</w:t>
      </w:r>
      <w:r w:rsidR="00B9722B">
        <w:rPr>
          <w:rFonts w:ascii="Times New Roman" w:hAnsi="Times New Roman" w:cs="Times New Roman"/>
        </w:rPr>
        <w:t xml:space="preserve"> lasteaiateenused 41,4% ehk </w:t>
      </w:r>
      <w:r w:rsidR="00B3587C">
        <w:rPr>
          <w:rFonts w:ascii="Times New Roman" w:hAnsi="Times New Roman" w:cs="Times New Roman"/>
        </w:rPr>
        <w:t xml:space="preserve">6,7 tuhat eurot ja </w:t>
      </w:r>
      <w:r w:rsidR="00B9722B">
        <w:rPr>
          <w:rFonts w:ascii="Times New Roman" w:hAnsi="Times New Roman" w:cs="Times New Roman"/>
        </w:rPr>
        <w:t xml:space="preserve"> </w:t>
      </w:r>
      <w:r w:rsidR="00B3587C">
        <w:rPr>
          <w:rFonts w:ascii="Times New Roman" w:hAnsi="Times New Roman" w:cs="Times New Roman"/>
        </w:rPr>
        <w:t>huvialategevuse arvlemise reale on lisatud täiendavaid vahendeid võrreldes eelneva aasta täitmisega 14,2 tuhat eurot ehk 82,3%.</w:t>
      </w:r>
    </w:p>
    <w:p w:rsidR="00A36A9F" w:rsidRPr="00A36A9F" w:rsidRDefault="00AB1BE0" w:rsidP="00A36A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 xml:space="preserve">Sotsiaalse kaitse kuludeks </w:t>
      </w:r>
      <w:r w:rsidR="00FC7321">
        <w:rPr>
          <w:rFonts w:ascii="Times New Roman" w:hAnsi="Times New Roman" w:cs="Times New Roman"/>
        </w:rPr>
        <w:t>kulub 28,2</w:t>
      </w:r>
      <w:r w:rsidRPr="00AC7DBC">
        <w:rPr>
          <w:rFonts w:ascii="Times New Roman" w:hAnsi="Times New Roman" w:cs="Times New Roman"/>
        </w:rPr>
        <w:t xml:space="preserve">% ehk </w:t>
      </w:r>
      <w:r w:rsidR="00FC7321">
        <w:rPr>
          <w:rFonts w:ascii="Times New Roman" w:hAnsi="Times New Roman" w:cs="Times New Roman"/>
        </w:rPr>
        <w:t>465,8</w:t>
      </w:r>
      <w:r w:rsidR="005604FF" w:rsidRPr="00AC7DBC">
        <w:rPr>
          <w:rFonts w:ascii="Times New Roman" w:hAnsi="Times New Roman" w:cs="Times New Roman"/>
        </w:rPr>
        <w:t xml:space="preserve"> tuh</w:t>
      </w:r>
      <w:r w:rsidR="005473D7" w:rsidRPr="00AC7DBC">
        <w:rPr>
          <w:rFonts w:ascii="Times New Roman" w:hAnsi="Times New Roman" w:cs="Times New Roman"/>
        </w:rPr>
        <w:t>at</w:t>
      </w:r>
      <w:r w:rsidR="005604FF" w:rsidRPr="00AC7DBC">
        <w:rPr>
          <w:rFonts w:ascii="Times New Roman" w:hAnsi="Times New Roman" w:cs="Times New Roman"/>
        </w:rPr>
        <w:t xml:space="preserve"> eurot. Võrreldes eelneva aasta täitmisega</w:t>
      </w:r>
      <w:r w:rsidR="00FC7321">
        <w:rPr>
          <w:rFonts w:ascii="Times New Roman" w:hAnsi="Times New Roman" w:cs="Times New Roman"/>
        </w:rPr>
        <w:t xml:space="preserve"> suureneb valdkonna eelarve 17,8</w:t>
      </w:r>
      <w:r w:rsidR="005604FF" w:rsidRPr="00AC7DBC">
        <w:rPr>
          <w:rFonts w:ascii="Times New Roman" w:hAnsi="Times New Roman" w:cs="Times New Roman"/>
        </w:rPr>
        <w:t xml:space="preserve"> tuh</w:t>
      </w:r>
      <w:r w:rsidR="005473D7" w:rsidRPr="00AC7DBC">
        <w:rPr>
          <w:rFonts w:ascii="Times New Roman" w:hAnsi="Times New Roman" w:cs="Times New Roman"/>
        </w:rPr>
        <w:t>at</w:t>
      </w:r>
      <w:r w:rsidR="00FC7321">
        <w:rPr>
          <w:rFonts w:ascii="Times New Roman" w:hAnsi="Times New Roman" w:cs="Times New Roman"/>
        </w:rPr>
        <w:t xml:space="preserve"> eurot ehk +4,0</w:t>
      </w:r>
      <w:r w:rsidR="005604FF" w:rsidRPr="00AC7DBC">
        <w:rPr>
          <w:rFonts w:ascii="Times New Roman" w:hAnsi="Times New Roman" w:cs="Times New Roman"/>
        </w:rPr>
        <w:t>%</w:t>
      </w:r>
      <w:r w:rsidR="0027768C" w:rsidRPr="00AC7DBC">
        <w:rPr>
          <w:rFonts w:ascii="Times New Roman" w:hAnsi="Times New Roman" w:cs="Times New Roman"/>
        </w:rPr>
        <w:t>. Kohtla-Nõmme Lastekodu eelarve suureneb võrreldes eelneva perioodi täitmi</w:t>
      </w:r>
      <w:r w:rsidR="00FC7321">
        <w:rPr>
          <w:rFonts w:ascii="Times New Roman" w:hAnsi="Times New Roman" w:cs="Times New Roman"/>
        </w:rPr>
        <w:t xml:space="preserve">sega +1,2% ehk 4,7 tuhat eurot, </w:t>
      </w:r>
      <w:r w:rsidR="001013EA" w:rsidRPr="00AC7DBC">
        <w:rPr>
          <w:rFonts w:ascii="Times New Roman" w:hAnsi="Times New Roman" w:cs="Times New Roman"/>
        </w:rPr>
        <w:t>eelarve sõltub hoolealuste arvust asenduskodus ja riigi poolt kehtestatud pearahast.</w:t>
      </w:r>
      <w:r w:rsidR="0027768C" w:rsidRPr="00AC7DBC">
        <w:rPr>
          <w:rFonts w:ascii="Times New Roman" w:hAnsi="Times New Roman" w:cs="Times New Roman"/>
        </w:rPr>
        <w:t xml:space="preserve"> Toimetulekutoetuse </w:t>
      </w:r>
      <w:r w:rsidR="006434F2" w:rsidRPr="00AC7DBC">
        <w:rPr>
          <w:rFonts w:ascii="Times New Roman" w:hAnsi="Times New Roman" w:cs="Times New Roman"/>
        </w:rPr>
        <w:t xml:space="preserve">eraldamiseks </w:t>
      </w:r>
      <w:r w:rsidR="0027768C" w:rsidRPr="00AC7DBC">
        <w:rPr>
          <w:rFonts w:ascii="Times New Roman" w:hAnsi="Times New Roman" w:cs="Times New Roman"/>
        </w:rPr>
        <w:t>on vahendeid e</w:t>
      </w:r>
      <w:r w:rsidR="00FC7321">
        <w:rPr>
          <w:rFonts w:ascii="Times New Roman" w:hAnsi="Times New Roman" w:cs="Times New Roman"/>
        </w:rPr>
        <w:t>elarves 19,2</w:t>
      </w:r>
      <w:r w:rsidR="0027768C" w:rsidRPr="00AC7DBC">
        <w:rPr>
          <w:rFonts w:ascii="Times New Roman" w:hAnsi="Times New Roman" w:cs="Times New Roman"/>
        </w:rPr>
        <w:t xml:space="preserve"> tuhat eurot,</w:t>
      </w:r>
      <w:r w:rsidR="002F1EBF">
        <w:rPr>
          <w:rFonts w:ascii="Times New Roman" w:hAnsi="Times New Roman" w:cs="Times New Roman"/>
        </w:rPr>
        <w:t xml:space="preserve"> võrreldes eelneva aastaga väheneb eelarve -1,4% ehk 282</w:t>
      </w:r>
      <w:r w:rsidR="0027768C" w:rsidRPr="00AC7DBC">
        <w:rPr>
          <w:rFonts w:ascii="Times New Roman" w:hAnsi="Times New Roman" w:cs="Times New Roman"/>
        </w:rPr>
        <w:t xml:space="preserve"> eurot. </w:t>
      </w:r>
      <w:r w:rsidR="00256748" w:rsidRPr="00AC7DBC">
        <w:rPr>
          <w:rFonts w:ascii="Times New Roman" w:hAnsi="Times New Roman" w:cs="Times New Roman"/>
        </w:rPr>
        <w:t>Eakate sotsiaalhoolek</w:t>
      </w:r>
      <w:r w:rsidR="002F1EBF">
        <w:rPr>
          <w:rFonts w:ascii="Times New Roman" w:hAnsi="Times New Roman" w:cs="Times New Roman"/>
        </w:rPr>
        <w:t>ande teenustele kulub 0,5% ehk 7</w:t>
      </w:r>
      <w:r w:rsidR="00256748" w:rsidRPr="00AC7DBC">
        <w:rPr>
          <w:rFonts w:ascii="Times New Roman" w:hAnsi="Times New Roman" w:cs="Times New Roman"/>
        </w:rPr>
        <w:t xml:space="preserve">,5 tuhat eurot, </w:t>
      </w:r>
      <w:r w:rsidR="002F1EBF">
        <w:rPr>
          <w:rFonts w:ascii="Times New Roman" w:hAnsi="Times New Roman" w:cs="Times New Roman"/>
        </w:rPr>
        <w:t>suurenemine 2,6 tuhat eurot ehk 53,7</w:t>
      </w:r>
      <w:r w:rsidR="00256748" w:rsidRPr="00AC7DBC">
        <w:rPr>
          <w:rFonts w:ascii="Times New Roman" w:hAnsi="Times New Roman" w:cs="Times New Roman"/>
        </w:rPr>
        <w:t xml:space="preserve">%. </w:t>
      </w:r>
      <w:r w:rsidR="00972109" w:rsidRPr="00AC7DBC">
        <w:rPr>
          <w:rFonts w:ascii="Times New Roman" w:hAnsi="Times New Roman" w:cs="Times New Roman"/>
        </w:rPr>
        <w:t xml:space="preserve"> Puuetega inimeste sotsiaalse kaitse eelarve </w:t>
      </w:r>
      <w:r w:rsidR="00256748" w:rsidRPr="00AC7DBC">
        <w:rPr>
          <w:rFonts w:ascii="Times New Roman" w:hAnsi="Times New Roman" w:cs="Times New Roman"/>
        </w:rPr>
        <w:t xml:space="preserve">suurenemine </w:t>
      </w:r>
      <w:r w:rsidR="00256748" w:rsidRPr="00AC7DBC">
        <w:rPr>
          <w:rFonts w:ascii="Times New Roman" w:hAnsi="Times New Roman" w:cs="Times New Roman"/>
        </w:rPr>
        <w:lastRenderedPageBreak/>
        <w:t xml:space="preserve">on tingitud eelneva perioodi </w:t>
      </w:r>
      <w:r w:rsidR="00972109" w:rsidRPr="00AC7DBC">
        <w:rPr>
          <w:rFonts w:ascii="Times New Roman" w:hAnsi="Times New Roman" w:cs="Times New Roman"/>
        </w:rPr>
        <w:t>kasutamata jää</w:t>
      </w:r>
      <w:r w:rsidR="00256748" w:rsidRPr="00AC7DBC">
        <w:rPr>
          <w:rFonts w:ascii="Times New Roman" w:hAnsi="Times New Roman" w:cs="Times New Roman"/>
        </w:rPr>
        <w:t>gi üleviimisest käesolevasse eelarvesse</w:t>
      </w:r>
      <w:r w:rsidR="00972109" w:rsidRPr="00AC7DBC">
        <w:rPr>
          <w:rFonts w:ascii="Times New Roman" w:hAnsi="Times New Roman" w:cs="Times New Roman"/>
        </w:rPr>
        <w:t>.</w:t>
      </w:r>
      <w:r w:rsidR="002F1EBF">
        <w:rPr>
          <w:rFonts w:ascii="Times New Roman" w:hAnsi="Times New Roman" w:cs="Times New Roman"/>
        </w:rPr>
        <w:t xml:space="preserve"> Samuti on eelarverida seotud toetusfondi eraldistega.</w:t>
      </w:r>
    </w:p>
    <w:p w:rsidR="00A36A9F" w:rsidRPr="00146F9D" w:rsidRDefault="0027768C" w:rsidP="00A36A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 xml:space="preserve"> </w:t>
      </w:r>
      <w:r w:rsidR="00972109" w:rsidRPr="00AC7DBC">
        <w:rPr>
          <w:rFonts w:ascii="Times New Roman" w:hAnsi="Times New Roman" w:cs="Times New Roman"/>
          <w:b/>
        </w:rPr>
        <w:t xml:space="preserve">Üldised valitsussektori teenused </w:t>
      </w:r>
      <w:r w:rsidR="00972109" w:rsidRPr="00AC7DBC">
        <w:rPr>
          <w:rFonts w:ascii="Times New Roman" w:hAnsi="Times New Roman" w:cs="Times New Roman"/>
        </w:rPr>
        <w:t>moodustavad valla 201</w:t>
      </w:r>
      <w:r w:rsidR="002F1EBF">
        <w:rPr>
          <w:rFonts w:ascii="Times New Roman" w:hAnsi="Times New Roman" w:cs="Times New Roman"/>
        </w:rPr>
        <w:t>7</w:t>
      </w:r>
      <w:r w:rsidR="00972109" w:rsidRPr="00AC7DBC">
        <w:rPr>
          <w:rFonts w:ascii="Times New Roman" w:hAnsi="Times New Roman" w:cs="Times New Roman"/>
        </w:rPr>
        <w:t xml:space="preserve">. </w:t>
      </w:r>
      <w:r w:rsidR="000575DD" w:rsidRPr="00AC7DBC">
        <w:rPr>
          <w:rFonts w:ascii="Times New Roman" w:hAnsi="Times New Roman" w:cs="Times New Roman"/>
        </w:rPr>
        <w:t>a</w:t>
      </w:r>
      <w:r w:rsidR="00972109" w:rsidRPr="00AC7DBC">
        <w:rPr>
          <w:rFonts w:ascii="Times New Roman" w:hAnsi="Times New Roman" w:cs="Times New Roman"/>
        </w:rPr>
        <w:t>asta</w:t>
      </w:r>
      <w:r w:rsidR="000575DD" w:rsidRPr="00AC7DBC">
        <w:rPr>
          <w:rFonts w:ascii="Times New Roman" w:hAnsi="Times New Roman" w:cs="Times New Roman"/>
        </w:rPr>
        <w:t xml:space="preserve"> eelarve</w:t>
      </w:r>
      <w:r w:rsidR="00972109" w:rsidRPr="00AC7DBC">
        <w:rPr>
          <w:rFonts w:ascii="Times New Roman" w:hAnsi="Times New Roman" w:cs="Times New Roman"/>
        </w:rPr>
        <w:t xml:space="preserve"> põhite</w:t>
      </w:r>
      <w:r w:rsidR="002F1EBF">
        <w:rPr>
          <w:rFonts w:ascii="Times New Roman" w:hAnsi="Times New Roman" w:cs="Times New Roman"/>
        </w:rPr>
        <w:t>gevuse kulude eelarvest 15,6</w:t>
      </w:r>
      <w:r w:rsidR="00FE017A" w:rsidRPr="00AC7DBC">
        <w:rPr>
          <w:rFonts w:ascii="Times New Roman" w:hAnsi="Times New Roman" w:cs="Times New Roman"/>
        </w:rPr>
        <w:t xml:space="preserve">% </w:t>
      </w:r>
      <w:r w:rsidR="002F1EBF">
        <w:rPr>
          <w:rFonts w:ascii="Times New Roman" w:hAnsi="Times New Roman" w:cs="Times New Roman"/>
        </w:rPr>
        <w:t xml:space="preserve"> ehk 257,6</w:t>
      </w:r>
      <w:r w:rsidR="000575DD" w:rsidRPr="00AC7DBC">
        <w:rPr>
          <w:rFonts w:ascii="Times New Roman" w:hAnsi="Times New Roman" w:cs="Times New Roman"/>
        </w:rPr>
        <w:t xml:space="preserve"> tuh</w:t>
      </w:r>
      <w:r w:rsidR="005473D7" w:rsidRPr="00AC7DBC">
        <w:rPr>
          <w:rFonts w:ascii="Times New Roman" w:hAnsi="Times New Roman" w:cs="Times New Roman"/>
        </w:rPr>
        <w:t>at</w:t>
      </w:r>
      <w:r w:rsidR="00972109" w:rsidRPr="00AC7DBC">
        <w:rPr>
          <w:rFonts w:ascii="Times New Roman" w:hAnsi="Times New Roman" w:cs="Times New Roman"/>
        </w:rPr>
        <w:t xml:space="preserve"> eurot</w:t>
      </w:r>
      <w:r w:rsidR="000575DD" w:rsidRPr="00AC7DBC">
        <w:rPr>
          <w:rFonts w:ascii="Times New Roman" w:hAnsi="Times New Roman" w:cs="Times New Roman"/>
        </w:rPr>
        <w:t xml:space="preserve">. Reservfondi on planeeritud jooksva aasta eelarvesse </w:t>
      </w:r>
      <w:r w:rsidR="002F1EBF">
        <w:rPr>
          <w:rFonts w:ascii="Times New Roman" w:hAnsi="Times New Roman" w:cs="Times New Roman"/>
        </w:rPr>
        <w:t>59,0</w:t>
      </w:r>
      <w:r w:rsidR="000575DD" w:rsidRPr="00AC7DBC">
        <w:rPr>
          <w:rFonts w:ascii="Times New Roman" w:hAnsi="Times New Roman" w:cs="Times New Roman"/>
        </w:rPr>
        <w:t xml:space="preserve"> tuh</w:t>
      </w:r>
      <w:r w:rsidR="005473D7" w:rsidRPr="00AC7DBC">
        <w:rPr>
          <w:rFonts w:ascii="Times New Roman" w:hAnsi="Times New Roman" w:cs="Times New Roman"/>
        </w:rPr>
        <w:t>at</w:t>
      </w:r>
      <w:r w:rsidR="002F1EBF">
        <w:rPr>
          <w:rFonts w:ascii="Times New Roman" w:hAnsi="Times New Roman" w:cs="Times New Roman"/>
        </w:rPr>
        <w:t xml:space="preserve"> eurot, mis on 3,6</w:t>
      </w:r>
      <w:r w:rsidR="00F95B1C">
        <w:rPr>
          <w:rFonts w:ascii="Times New Roman" w:hAnsi="Times New Roman" w:cs="Times New Roman"/>
        </w:rPr>
        <w:t>% põhitegevuse k</w:t>
      </w:r>
      <w:r w:rsidR="000575DD" w:rsidRPr="00AC7DBC">
        <w:rPr>
          <w:rFonts w:ascii="Times New Roman" w:hAnsi="Times New Roman" w:cs="Times New Roman"/>
        </w:rPr>
        <w:t xml:space="preserve">uludest. </w:t>
      </w:r>
      <w:r w:rsidR="00146F9D">
        <w:rPr>
          <w:rFonts w:ascii="Times New Roman" w:hAnsi="Times New Roman" w:cs="Times New Roman"/>
        </w:rPr>
        <w:t>Reservfondi on arvatud</w:t>
      </w:r>
      <w:r w:rsidR="002F1EBF">
        <w:rPr>
          <w:rFonts w:ascii="Times New Roman" w:hAnsi="Times New Roman" w:cs="Times New Roman"/>
        </w:rPr>
        <w:t xml:space="preserve"> 26,0 tuhat eurot ühinemistoetuse vahend</w:t>
      </w:r>
      <w:r w:rsidR="00146F9D">
        <w:rPr>
          <w:rFonts w:ascii="Times New Roman" w:hAnsi="Times New Roman" w:cs="Times New Roman"/>
        </w:rPr>
        <w:t>e</w:t>
      </w:r>
      <w:r w:rsidR="002F1EBF">
        <w:rPr>
          <w:rFonts w:ascii="Times New Roman" w:hAnsi="Times New Roman" w:cs="Times New Roman"/>
        </w:rPr>
        <w:t>id hüvitiste maksmiseks.</w:t>
      </w:r>
      <w:r w:rsidR="00146F9D">
        <w:rPr>
          <w:rFonts w:ascii="Times New Roman" w:hAnsi="Times New Roman" w:cs="Times New Roman"/>
        </w:rPr>
        <w:t xml:space="preserve"> Samuti vahendid jooksval aastal võetava laenu tagasimakseteks, mis suunatakse jooksvalt lisaeelarvega finantseerimistegevuse kuludesse. </w:t>
      </w:r>
      <w:r w:rsidR="002F1EBF">
        <w:rPr>
          <w:rFonts w:ascii="Times New Roman" w:hAnsi="Times New Roman" w:cs="Times New Roman"/>
        </w:rPr>
        <w:t xml:space="preserve"> </w:t>
      </w:r>
      <w:r w:rsidR="000575DD" w:rsidRPr="00AC7DBC">
        <w:rPr>
          <w:rFonts w:ascii="Times New Roman" w:hAnsi="Times New Roman" w:cs="Times New Roman"/>
        </w:rPr>
        <w:t xml:space="preserve">Eelneval aastal </w:t>
      </w:r>
      <w:r w:rsidR="00146F9D">
        <w:rPr>
          <w:rFonts w:ascii="Times New Roman" w:hAnsi="Times New Roman" w:cs="Times New Roman"/>
        </w:rPr>
        <w:t>eraldati reservfondist vallavalitsuse korralduste alusel 2650 eurot.</w:t>
      </w:r>
      <w:r w:rsidR="000575DD" w:rsidRPr="00AC7DBC">
        <w:rPr>
          <w:rFonts w:ascii="Times New Roman" w:hAnsi="Times New Roman" w:cs="Times New Roman"/>
        </w:rPr>
        <w:t xml:space="preserve"> Vallavalitsuse tegevuskuludeks</w:t>
      </w:r>
      <w:r w:rsidR="000575DD" w:rsidRPr="00AC7DBC">
        <w:rPr>
          <w:rFonts w:ascii="Times New Roman" w:hAnsi="Times New Roman" w:cs="Times New Roman"/>
          <w:b/>
        </w:rPr>
        <w:t xml:space="preserve"> </w:t>
      </w:r>
      <w:r w:rsidR="00146F9D">
        <w:rPr>
          <w:rFonts w:ascii="Times New Roman" w:hAnsi="Times New Roman" w:cs="Times New Roman"/>
        </w:rPr>
        <w:t>kulub 11,0</w:t>
      </w:r>
      <w:r w:rsidR="000575DD" w:rsidRPr="00AC7DBC">
        <w:rPr>
          <w:rFonts w:ascii="Times New Roman" w:hAnsi="Times New Roman" w:cs="Times New Roman"/>
        </w:rPr>
        <w:t xml:space="preserve">% </w:t>
      </w:r>
      <w:r w:rsidR="00146F9D">
        <w:rPr>
          <w:rFonts w:ascii="Times New Roman" w:hAnsi="Times New Roman" w:cs="Times New Roman"/>
        </w:rPr>
        <w:t>ehk 181,2</w:t>
      </w:r>
      <w:r w:rsidR="001013EA" w:rsidRPr="00AC7DBC">
        <w:rPr>
          <w:rFonts w:ascii="Times New Roman" w:hAnsi="Times New Roman" w:cs="Times New Roman"/>
        </w:rPr>
        <w:t xml:space="preserve"> tuhat eurot </w:t>
      </w:r>
      <w:r w:rsidR="000575DD" w:rsidRPr="00AC7DBC">
        <w:rPr>
          <w:rFonts w:ascii="Times New Roman" w:hAnsi="Times New Roman" w:cs="Times New Roman"/>
        </w:rPr>
        <w:t>põhitegevuse kuludest.</w:t>
      </w:r>
      <w:r w:rsidR="00235710" w:rsidRPr="00AC7DBC">
        <w:rPr>
          <w:rFonts w:ascii="Times New Roman" w:hAnsi="Times New Roman" w:cs="Times New Roman"/>
        </w:rPr>
        <w:t xml:space="preserve"> Eelarve suuren</w:t>
      </w:r>
      <w:r w:rsidR="003C0C15" w:rsidRPr="00AC7DBC">
        <w:rPr>
          <w:rFonts w:ascii="Times New Roman" w:hAnsi="Times New Roman" w:cs="Times New Roman"/>
        </w:rPr>
        <w:t xml:space="preserve">emine võrreldes täitmisega </w:t>
      </w:r>
      <w:r w:rsidR="0097081B" w:rsidRPr="00AC7DBC">
        <w:rPr>
          <w:rFonts w:ascii="Times New Roman" w:hAnsi="Times New Roman" w:cs="Times New Roman"/>
        </w:rPr>
        <w:t xml:space="preserve">on </w:t>
      </w:r>
      <w:r w:rsidR="00146F9D">
        <w:rPr>
          <w:rFonts w:ascii="Times New Roman" w:hAnsi="Times New Roman" w:cs="Times New Roman"/>
        </w:rPr>
        <w:t>4,6</w:t>
      </w:r>
      <w:r w:rsidR="003C0C15" w:rsidRPr="00AC7DBC">
        <w:rPr>
          <w:rFonts w:ascii="Times New Roman" w:hAnsi="Times New Roman" w:cs="Times New Roman"/>
        </w:rPr>
        <w:t>%</w:t>
      </w:r>
      <w:r w:rsidR="00146F9D">
        <w:rPr>
          <w:rFonts w:ascii="Times New Roman" w:hAnsi="Times New Roman" w:cs="Times New Roman"/>
        </w:rPr>
        <w:t xml:space="preserve"> ehk 7,9 tuhat eurot</w:t>
      </w:r>
      <w:r w:rsidR="003C0C15" w:rsidRPr="00AC7DBC">
        <w:rPr>
          <w:rFonts w:ascii="Times New Roman" w:hAnsi="Times New Roman" w:cs="Times New Roman"/>
        </w:rPr>
        <w:t>.</w:t>
      </w:r>
    </w:p>
    <w:p w:rsidR="00146F9D" w:rsidRPr="00A36A9F" w:rsidRDefault="00146F9D" w:rsidP="00146F9D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A36A9F" w:rsidRPr="00A36A9F" w:rsidRDefault="00A36A9F" w:rsidP="00A36A9F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et-EE"/>
        </w:rPr>
        <w:drawing>
          <wp:inline distT="0" distB="0" distL="0" distR="0" wp14:anchorId="229F43D6" wp14:editId="52FA1B9E">
            <wp:extent cx="5760720" cy="3533846"/>
            <wp:effectExtent l="0" t="0" r="1143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359D" w:rsidRPr="00AC7DBC" w:rsidRDefault="00904868" w:rsidP="00F635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>Vaba aja</w:t>
      </w:r>
      <w:r w:rsidR="00985B8D">
        <w:rPr>
          <w:rFonts w:ascii="Times New Roman" w:hAnsi="Times New Roman" w:cs="Times New Roman"/>
          <w:b/>
        </w:rPr>
        <w:t xml:space="preserve"> ja</w:t>
      </w:r>
      <w:r w:rsidRPr="00AC7DBC">
        <w:rPr>
          <w:rFonts w:ascii="Times New Roman" w:hAnsi="Times New Roman" w:cs="Times New Roman"/>
          <w:b/>
        </w:rPr>
        <w:t xml:space="preserve"> kultuuri valdkonna </w:t>
      </w:r>
      <w:r w:rsidR="0032630E">
        <w:rPr>
          <w:rFonts w:ascii="Times New Roman" w:hAnsi="Times New Roman" w:cs="Times New Roman"/>
        </w:rPr>
        <w:t>kuludeks kulub 9,6% ehk 159,2</w:t>
      </w:r>
      <w:r w:rsidRPr="00AC7DBC">
        <w:rPr>
          <w:rFonts w:ascii="Times New Roman" w:hAnsi="Times New Roman" w:cs="Times New Roman"/>
        </w:rPr>
        <w:t xml:space="preserve"> tuhat eurot. Rahvamaja eelarve suureneb võrreldes eelneva aastaga </w:t>
      </w:r>
      <w:r w:rsidR="00D0333A">
        <w:rPr>
          <w:rFonts w:ascii="Times New Roman" w:hAnsi="Times New Roman" w:cs="Times New Roman"/>
        </w:rPr>
        <w:t>9,1</w:t>
      </w:r>
      <w:r w:rsidR="0097081B" w:rsidRPr="00AC7DBC">
        <w:rPr>
          <w:rFonts w:ascii="Times New Roman" w:hAnsi="Times New Roman" w:cs="Times New Roman"/>
        </w:rPr>
        <w:t xml:space="preserve"> tuhat eurot</w:t>
      </w:r>
      <w:r w:rsidR="00D0333A">
        <w:rPr>
          <w:rFonts w:ascii="Times New Roman" w:hAnsi="Times New Roman" w:cs="Times New Roman"/>
        </w:rPr>
        <w:t xml:space="preserve"> ehk 13,2</w:t>
      </w:r>
      <w:r w:rsidR="00FE017A" w:rsidRPr="00AC7DBC">
        <w:rPr>
          <w:rFonts w:ascii="Times New Roman" w:hAnsi="Times New Roman" w:cs="Times New Roman"/>
        </w:rPr>
        <w:t>%</w:t>
      </w:r>
      <w:r w:rsidR="00D0333A">
        <w:rPr>
          <w:rFonts w:ascii="Times New Roman" w:hAnsi="Times New Roman" w:cs="Times New Roman"/>
        </w:rPr>
        <w:t>, majanduskulude täitmine 2016. aastal moodustas 92,6% ja personalikulude täitmine 98,2%</w:t>
      </w:r>
      <w:r w:rsidR="0097081B" w:rsidRPr="00AC7DBC">
        <w:rPr>
          <w:rFonts w:ascii="Times New Roman" w:hAnsi="Times New Roman" w:cs="Times New Roman"/>
        </w:rPr>
        <w:t>.</w:t>
      </w:r>
      <w:r w:rsidRPr="00AC7DBC">
        <w:rPr>
          <w:rFonts w:ascii="Times New Roman" w:hAnsi="Times New Roman" w:cs="Times New Roman"/>
        </w:rPr>
        <w:t xml:space="preserve"> </w:t>
      </w:r>
      <w:r w:rsidR="00D0333A">
        <w:rPr>
          <w:rFonts w:ascii="Times New Roman" w:hAnsi="Times New Roman" w:cs="Times New Roman"/>
        </w:rPr>
        <w:t xml:space="preserve">Rahvamaja eelarve moodustab valla eelarvest 4,7%. </w:t>
      </w:r>
      <w:r w:rsidR="00F6359D" w:rsidRPr="00AC7DBC">
        <w:rPr>
          <w:rFonts w:ascii="Times New Roman" w:hAnsi="Times New Roman" w:cs="Times New Roman"/>
        </w:rPr>
        <w:t>Laste huvitegevuse teen</w:t>
      </w:r>
      <w:r w:rsidR="00D0333A">
        <w:rPr>
          <w:rFonts w:ascii="Times New Roman" w:hAnsi="Times New Roman" w:cs="Times New Roman"/>
        </w:rPr>
        <w:t>use kuludeks on planeeritud 31,5 tuhat eurot, mis moodustab 1,9</w:t>
      </w:r>
      <w:r w:rsidR="00F6359D" w:rsidRPr="00AC7DBC">
        <w:rPr>
          <w:rFonts w:ascii="Times New Roman" w:hAnsi="Times New Roman" w:cs="Times New Roman"/>
        </w:rPr>
        <w:t>% põhitegevuse kuludest. Suurenemine võrr</w:t>
      </w:r>
      <w:r w:rsidR="00FE017A" w:rsidRPr="00AC7DBC">
        <w:rPr>
          <w:rFonts w:ascii="Times New Roman" w:hAnsi="Times New Roman" w:cs="Times New Roman"/>
        </w:rPr>
        <w:t>eldes e</w:t>
      </w:r>
      <w:r w:rsidR="00D0333A">
        <w:rPr>
          <w:rFonts w:ascii="Times New Roman" w:hAnsi="Times New Roman" w:cs="Times New Roman"/>
        </w:rPr>
        <w:t>elneva perioodiga +82,3% ehk 14,2</w:t>
      </w:r>
      <w:r w:rsidR="00FE017A" w:rsidRPr="00AC7DBC">
        <w:rPr>
          <w:rFonts w:ascii="Times New Roman" w:hAnsi="Times New Roman" w:cs="Times New Roman"/>
        </w:rPr>
        <w:t xml:space="preserve"> tuhat eurot.  </w:t>
      </w:r>
      <w:r w:rsidR="00DB4F70">
        <w:rPr>
          <w:rFonts w:ascii="Times New Roman" w:hAnsi="Times New Roman" w:cs="Times New Roman"/>
        </w:rPr>
        <w:t>Noortekeskuse eelarve on 16,4 tuhat eurot ehk 1,0</w:t>
      </w:r>
      <w:r w:rsidR="003621D3" w:rsidRPr="00AC7DBC">
        <w:rPr>
          <w:rFonts w:ascii="Times New Roman" w:hAnsi="Times New Roman" w:cs="Times New Roman"/>
        </w:rPr>
        <w:t xml:space="preserve">% põhitegevuse </w:t>
      </w:r>
      <w:r w:rsidR="00FE017A" w:rsidRPr="00AC7DBC">
        <w:rPr>
          <w:rFonts w:ascii="Times New Roman" w:hAnsi="Times New Roman" w:cs="Times New Roman"/>
        </w:rPr>
        <w:t>k</w:t>
      </w:r>
      <w:r w:rsidR="003621D3" w:rsidRPr="00AC7DBC">
        <w:rPr>
          <w:rFonts w:ascii="Times New Roman" w:hAnsi="Times New Roman" w:cs="Times New Roman"/>
        </w:rPr>
        <w:t>uludest.</w:t>
      </w:r>
    </w:p>
    <w:p w:rsidR="003621D3" w:rsidRPr="00AC7DBC" w:rsidRDefault="008B4D24" w:rsidP="00F635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>Keskko</w:t>
      </w:r>
      <w:r w:rsidR="00985B8D">
        <w:rPr>
          <w:rFonts w:ascii="Times New Roman" w:hAnsi="Times New Roman" w:cs="Times New Roman"/>
          <w:b/>
        </w:rPr>
        <w:t>n</w:t>
      </w:r>
      <w:r w:rsidRPr="00AC7DBC">
        <w:rPr>
          <w:rFonts w:ascii="Times New Roman" w:hAnsi="Times New Roman" w:cs="Times New Roman"/>
          <w:b/>
        </w:rPr>
        <w:t xml:space="preserve">nakaitse kuludeks kulub </w:t>
      </w:r>
      <w:r w:rsidR="00FC408E">
        <w:rPr>
          <w:rFonts w:ascii="Times New Roman" w:hAnsi="Times New Roman" w:cs="Times New Roman"/>
        </w:rPr>
        <w:t>2,8% ehk 46,1</w:t>
      </w:r>
      <w:r w:rsidRPr="00AC7DBC">
        <w:rPr>
          <w:rFonts w:ascii="Times New Roman" w:hAnsi="Times New Roman" w:cs="Times New Roman"/>
        </w:rPr>
        <w:t xml:space="preserve"> tuhat </w:t>
      </w:r>
      <w:r w:rsidR="00FE017A" w:rsidRPr="00AC7DBC">
        <w:rPr>
          <w:rFonts w:ascii="Times New Roman" w:hAnsi="Times New Roman" w:cs="Times New Roman"/>
        </w:rPr>
        <w:t>eur</w:t>
      </w:r>
      <w:r w:rsidR="00FC408E">
        <w:rPr>
          <w:rFonts w:ascii="Times New Roman" w:hAnsi="Times New Roman" w:cs="Times New Roman"/>
        </w:rPr>
        <w:t>ot, kasv eelneva perioodiga 17,4</w:t>
      </w:r>
      <w:r w:rsidRPr="00AC7DBC">
        <w:rPr>
          <w:rFonts w:ascii="Times New Roman" w:hAnsi="Times New Roman" w:cs="Times New Roman"/>
        </w:rPr>
        <w:t>%</w:t>
      </w:r>
      <w:r w:rsidR="00FC408E">
        <w:rPr>
          <w:rFonts w:ascii="Times New Roman" w:hAnsi="Times New Roman" w:cs="Times New Roman"/>
        </w:rPr>
        <w:t xml:space="preserve"> ehk 6,9</w:t>
      </w:r>
      <w:r w:rsidR="00FE017A" w:rsidRPr="00AC7DBC">
        <w:rPr>
          <w:rFonts w:ascii="Times New Roman" w:hAnsi="Times New Roman" w:cs="Times New Roman"/>
        </w:rPr>
        <w:t xml:space="preserve"> tuhat eurot.</w:t>
      </w:r>
      <w:r w:rsidR="000E1C8A" w:rsidRPr="00AC7DBC">
        <w:rPr>
          <w:rFonts w:ascii="Times New Roman" w:hAnsi="Times New Roman" w:cs="Times New Roman"/>
        </w:rPr>
        <w:t xml:space="preserve"> Jäätmekäitluse eelarvet on suurendatud 2,</w:t>
      </w:r>
      <w:r w:rsidR="00FC408E">
        <w:rPr>
          <w:rFonts w:ascii="Times New Roman" w:hAnsi="Times New Roman" w:cs="Times New Roman"/>
        </w:rPr>
        <w:t>5</w:t>
      </w:r>
      <w:r w:rsidR="000E1C8A" w:rsidRPr="00AC7DBC">
        <w:rPr>
          <w:rFonts w:ascii="Times New Roman" w:hAnsi="Times New Roman" w:cs="Times New Roman"/>
        </w:rPr>
        <w:t xml:space="preserve"> tuhat eurot. Heakorra kulude eelarve suureneb </w:t>
      </w:r>
      <w:r w:rsidR="00FC408E">
        <w:rPr>
          <w:rFonts w:ascii="Times New Roman" w:hAnsi="Times New Roman" w:cs="Times New Roman"/>
        </w:rPr>
        <w:t>4,3</w:t>
      </w:r>
      <w:r w:rsidR="00D87C7C" w:rsidRPr="00AC7DBC">
        <w:rPr>
          <w:rFonts w:ascii="Times New Roman" w:hAnsi="Times New Roman" w:cs="Times New Roman"/>
        </w:rPr>
        <w:t xml:space="preserve"> tuhat eurot</w:t>
      </w:r>
      <w:r w:rsidR="00FC408E">
        <w:rPr>
          <w:rFonts w:ascii="Times New Roman" w:hAnsi="Times New Roman" w:cs="Times New Roman"/>
        </w:rPr>
        <w:t xml:space="preserve"> ehk </w:t>
      </w:r>
      <w:r w:rsidR="0017364C">
        <w:rPr>
          <w:rFonts w:ascii="Times New Roman" w:hAnsi="Times New Roman" w:cs="Times New Roman"/>
        </w:rPr>
        <w:t>12,5%</w:t>
      </w:r>
      <w:r w:rsidR="00D87C7C" w:rsidRPr="00AC7DBC">
        <w:rPr>
          <w:rFonts w:ascii="Times New Roman" w:hAnsi="Times New Roman" w:cs="Times New Roman"/>
        </w:rPr>
        <w:t>.</w:t>
      </w:r>
    </w:p>
    <w:p w:rsidR="00FE017A" w:rsidRPr="00AC7DBC" w:rsidRDefault="00FE017A" w:rsidP="00F635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 xml:space="preserve">Majanduse </w:t>
      </w:r>
      <w:r w:rsidRPr="00AC7DBC">
        <w:rPr>
          <w:rFonts w:ascii="Times New Roman" w:hAnsi="Times New Roman" w:cs="Times New Roman"/>
        </w:rPr>
        <w:t xml:space="preserve">eelarve </w:t>
      </w:r>
      <w:r w:rsidR="0017364C">
        <w:rPr>
          <w:rFonts w:ascii="Times New Roman" w:hAnsi="Times New Roman" w:cs="Times New Roman"/>
        </w:rPr>
        <w:t>moodustab 2,3</w:t>
      </w:r>
      <w:r w:rsidR="00F95B1C">
        <w:rPr>
          <w:rFonts w:ascii="Times New Roman" w:hAnsi="Times New Roman" w:cs="Times New Roman"/>
        </w:rPr>
        <w:t xml:space="preserve">% </w:t>
      </w:r>
      <w:r w:rsidR="0017364C">
        <w:rPr>
          <w:rFonts w:ascii="Times New Roman" w:hAnsi="Times New Roman" w:cs="Times New Roman"/>
        </w:rPr>
        <w:t>ehk 38,5 tuhat eurot</w:t>
      </w:r>
      <w:r w:rsidR="00F95B1C">
        <w:rPr>
          <w:rFonts w:ascii="Times New Roman" w:hAnsi="Times New Roman" w:cs="Times New Roman"/>
        </w:rPr>
        <w:t xml:space="preserve"> põhitegevuse k</w:t>
      </w:r>
      <w:r w:rsidRPr="00AC7DBC">
        <w:rPr>
          <w:rFonts w:ascii="Times New Roman" w:hAnsi="Times New Roman" w:cs="Times New Roman"/>
        </w:rPr>
        <w:t xml:space="preserve">uludest. Valla teede ja tänavate korrashoiuks on </w:t>
      </w:r>
      <w:r w:rsidR="0017364C">
        <w:rPr>
          <w:rFonts w:ascii="Times New Roman" w:hAnsi="Times New Roman" w:cs="Times New Roman"/>
        </w:rPr>
        <w:t>suunatud 37,0 tuhat eurot, suurenemine 11,8 tuhat eurot ehk 46,7</w:t>
      </w:r>
      <w:r w:rsidRPr="00AC7DBC">
        <w:rPr>
          <w:rFonts w:ascii="Times New Roman" w:hAnsi="Times New Roman" w:cs="Times New Roman"/>
        </w:rPr>
        <w:t>%.</w:t>
      </w:r>
    </w:p>
    <w:p w:rsidR="00D87C7C" w:rsidRPr="00AC7DBC" w:rsidRDefault="00D87C7C" w:rsidP="00D87C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 xml:space="preserve">Elamu- ja </w:t>
      </w:r>
      <w:r w:rsidR="00985B8D">
        <w:rPr>
          <w:rFonts w:ascii="Times New Roman" w:hAnsi="Times New Roman" w:cs="Times New Roman"/>
          <w:b/>
        </w:rPr>
        <w:t>k</w:t>
      </w:r>
      <w:r w:rsidRPr="00AC7DBC">
        <w:rPr>
          <w:rFonts w:ascii="Times New Roman" w:hAnsi="Times New Roman" w:cs="Times New Roman"/>
          <w:b/>
        </w:rPr>
        <w:t xml:space="preserve">ommunaalmajanduse eelarve </w:t>
      </w:r>
      <w:r w:rsidRPr="00AC7DBC">
        <w:rPr>
          <w:rFonts w:ascii="Times New Roman" w:hAnsi="Times New Roman" w:cs="Times New Roman"/>
        </w:rPr>
        <w:t>moodustab vall</w:t>
      </w:r>
      <w:r w:rsidR="0017364C">
        <w:rPr>
          <w:rFonts w:ascii="Times New Roman" w:hAnsi="Times New Roman" w:cs="Times New Roman"/>
        </w:rPr>
        <w:t>a eelarve kuludest 1,7% ehk 28,2</w:t>
      </w:r>
      <w:r w:rsidRPr="00AC7DBC">
        <w:rPr>
          <w:rFonts w:ascii="Times New Roman" w:hAnsi="Times New Roman" w:cs="Times New Roman"/>
        </w:rPr>
        <w:t xml:space="preserve"> tuhat eurot. Sellel eelarve real kajastuvad jooksvad kulud tänavavalgustusele, veevarustusele, muud elamu- ja kommunaalmajanduse kulud (sh hulkuvad loomad). Tänavavalgustuse kuludeks </w:t>
      </w:r>
      <w:r w:rsidR="00256748" w:rsidRPr="00AC7DBC">
        <w:rPr>
          <w:rFonts w:ascii="Times New Roman" w:hAnsi="Times New Roman" w:cs="Times New Roman"/>
        </w:rPr>
        <w:t xml:space="preserve">on </w:t>
      </w:r>
      <w:r w:rsidR="0017364C">
        <w:rPr>
          <w:rFonts w:ascii="Times New Roman" w:hAnsi="Times New Roman" w:cs="Times New Roman"/>
        </w:rPr>
        <w:t>planeeritud 18</w:t>
      </w:r>
      <w:r w:rsidRPr="00AC7DBC">
        <w:rPr>
          <w:rFonts w:ascii="Times New Roman" w:hAnsi="Times New Roman" w:cs="Times New Roman"/>
        </w:rPr>
        <w:t xml:space="preserve">,0 tuhat eurot, </w:t>
      </w:r>
      <w:r w:rsidR="0017364C">
        <w:rPr>
          <w:rFonts w:ascii="Times New Roman" w:hAnsi="Times New Roman" w:cs="Times New Roman"/>
        </w:rPr>
        <w:t>suurenemine 35,3% ehk 4,7</w:t>
      </w:r>
      <w:r w:rsidRPr="00AC7DBC">
        <w:rPr>
          <w:rFonts w:ascii="Times New Roman" w:hAnsi="Times New Roman" w:cs="Times New Roman"/>
        </w:rPr>
        <w:t xml:space="preserve"> tuhat eurot.</w:t>
      </w:r>
    </w:p>
    <w:p w:rsidR="00034698" w:rsidRDefault="001A7138" w:rsidP="00DA28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4698">
        <w:rPr>
          <w:rFonts w:ascii="Times New Roman" w:hAnsi="Times New Roman" w:cs="Times New Roman"/>
          <w:b/>
        </w:rPr>
        <w:t>Avaliku korra kuludeks</w:t>
      </w:r>
      <w:r w:rsidR="00256748" w:rsidRPr="00034698">
        <w:rPr>
          <w:rFonts w:ascii="Times New Roman" w:hAnsi="Times New Roman" w:cs="Times New Roman"/>
          <w:b/>
        </w:rPr>
        <w:t xml:space="preserve"> </w:t>
      </w:r>
      <w:r w:rsidR="00256748" w:rsidRPr="00034698">
        <w:rPr>
          <w:rFonts w:ascii="Times New Roman" w:hAnsi="Times New Roman" w:cs="Times New Roman"/>
        </w:rPr>
        <w:t>on</w:t>
      </w:r>
      <w:r w:rsidRPr="00034698">
        <w:rPr>
          <w:rFonts w:ascii="Times New Roman" w:hAnsi="Times New Roman" w:cs="Times New Roman"/>
        </w:rPr>
        <w:t xml:space="preserve"> planeeritud 2,0 tuhat eurot. </w:t>
      </w:r>
    </w:p>
    <w:p w:rsidR="002B77C6" w:rsidRPr="00034698" w:rsidRDefault="006A0944" w:rsidP="00DA28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4698">
        <w:rPr>
          <w:rFonts w:ascii="Times New Roman" w:hAnsi="Times New Roman" w:cs="Times New Roman"/>
        </w:rPr>
        <w:lastRenderedPageBreak/>
        <w:t>Majandamis- ja personalikulud tervikuna</w:t>
      </w:r>
      <w:r w:rsidR="00070EF6" w:rsidRPr="00034698">
        <w:rPr>
          <w:rFonts w:ascii="Times New Roman" w:hAnsi="Times New Roman" w:cs="Times New Roman"/>
        </w:rPr>
        <w:t xml:space="preserve"> moodustavad </w:t>
      </w:r>
      <w:r w:rsidR="00FF6E63" w:rsidRPr="00034698">
        <w:rPr>
          <w:rFonts w:ascii="Times New Roman" w:hAnsi="Times New Roman" w:cs="Times New Roman"/>
        </w:rPr>
        <w:t>eelarve põhitegevuse kuludest</w:t>
      </w:r>
      <w:r w:rsidRPr="00034698">
        <w:rPr>
          <w:rFonts w:ascii="Times New Roman" w:hAnsi="Times New Roman" w:cs="Times New Roman"/>
        </w:rPr>
        <w:t xml:space="preserve"> 9</w:t>
      </w:r>
      <w:r w:rsidR="00FF6E63" w:rsidRPr="00034698">
        <w:rPr>
          <w:rFonts w:ascii="Times New Roman" w:hAnsi="Times New Roman" w:cs="Times New Roman"/>
        </w:rPr>
        <w:t>6,1% ehk 1,58</w:t>
      </w:r>
      <w:r w:rsidR="00023E5E" w:rsidRPr="00034698">
        <w:rPr>
          <w:rFonts w:ascii="Times New Roman" w:hAnsi="Times New Roman" w:cs="Times New Roman"/>
        </w:rPr>
        <w:t xml:space="preserve"> miljonit eurot, eelneval perioodi</w:t>
      </w:r>
      <w:r w:rsidR="00DA28A5" w:rsidRPr="00034698">
        <w:rPr>
          <w:rFonts w:ascii="Times New Roman" w:hAnsi="Times New Roman" w:cs="Times New Roman"/>
        </w:rPr>
        <w:t xml:space="preserve">l </w:t>
      </w:r>
      <w:r w:rsidR="00091E2F" w:rsidRPr="00034698">
        <w:rPr>
          <w:rFonts w:ascii="Times New Roman" w:hAnsi="Times New Roman" w:cs="Times New Roman"/>
        </w:rPr>
        <w:t>(täitmine 2016) 96,4% ehk 1,40</w:t>
      </w:r>
      <w:r w:rsidR="00023E5E" w:rsidRPr="00034698">
        <w:rPr>
          <w:rFonts w:ascii="Times New Roman" w:hAnsi="Times New Roman" w:cs="Times New Roman"/>
        </w:rPr>
        <w:t xml:space="preserve"> miljonit eurot. </w:t>
      </w:r>
      <w:r w:rsidRPr="00034698">
        <w:rPr>
          <w:rFonts w:ascii="Times New Roman" w:hAnsi="Times New Roman" w:cs="Times New Roman"/>
        </w:rPr>
        <w:t xml:space="preserve">Antavad toetused moodustavad </w:t>
      </w:r>
      <w:r w:rsidR="00070EF6" w:rsidRPr="00034698">
        <w:rPr>
          <w:rFonts w:ascii="Times New Roman" w:hAnsi="Times New Roman" w:cs="Times New Roman"/>
        </w:rPr>
        <w:t>4,0</w:t>
      </w:r>
      <w:r w:rsidR="00B357DC" w:rsidRPr="00034698">
        <w:rPr>
          <w:rFonts w:ascii="Times New Roman" w:hAnsi="Times New Roman" w:cs="Times New Roman"/>
        </w:rPr>
        <w:t>% ehk 65,7</w:t>
      </w:r>
      <w:r w:rsidR="002B77C6" w:rsidRPr="00034698">
        <w:rPr>
          <w:rFonts w:ascii="Times New Roman" w:hAnsi="Times New Roman" w:cs="Times New Roman"/>
        </w:rPr>
        <w:t xml:space="preserve"> tuhat</w:t>
      </w:r>
      <w:r w:rsidRPr="00034698">
        <w:rPr>
          <w:rFonts w:ascii="Times New Roman" w:hAnsi="Times New Roman" w:cs="Times New Roman"/>
        </w:rPr>
        <w:t xml:space="preserve"> eurot, </w:t>
      </w:r>
      <w:r w:rsidR="007B1CF7" w:rsidRPr="00034698">
        <w:rPr>
          <w:rFonts w:ascii="Times New Roman" w:hAnsi="Times New Roman" w:cs="Times New Roman"/>
        </w:rPr>
        <w:t xml:space="preserve">eelneval perioodil </w:t>
      </w:r>
      <w:r w:rsidR="00B357DC" w:rsidRPr="00034698">
        <w:rPr>
          <w:rFonts w:ascii="Times New Roman" w:hAnsi="Times New Roman" w:cs="Times New Roman"/>
        </w:rPr>
        <w:t>3,6% ehk 51,6</w:t>
      </w:r>
      <w:r w:rsidR="002B77C6" w:rsidRPr="00034698">
        <w:rPr>
          <w:rFonts w:ascii="Times New Roman" w:hAnsi="Times New Roman" w:cs="Times New Roman"/>
        </w:rPr>
        <w:t xml:space="preserve"> tuhat eurot.</w:t>
      </w:r>
      <w:r w:rsidRPr="00034698">
        <w:rPr>
          <w:rFonts w:ascii="Times New Roman" w:hAnsi="Times New Roman" w:cs="Times New Roman"/>
        </w:rPr>
        <w:t xml:space="preserve"> </w:t>
      </w:r>
      <w:r w:rsidR="00023E5E" w:rsidRPr="00034698">
        <w:rPr>
          <w:rFonts w:ascii="Times New Roman" w:hAnsi="Times New Roman" w:cs="Times New Roman"/>
        </w:rPr>
        <w:t xml:space="preserve">Eelneva perioodi </w:t>
      </w:r>
      <w:r w:rsidR="00070EF6" w:rsidRPr="00034698">
        <w:rPr>
          <w:rFonts w:ascii="Times New Roman" w:hAnsi="Times New Roman" w:cs="Times New Roman"/>
        </w:rPr>
        <w:t xml:space="preserve">(2016) </w:t>
      </w:r>
      <w:r w:rsidR="00023E5E" w:rsidRPr="00034698">
        <w:rPr>
          <w:rFonts w:ascii="Times New Roman" w:hAnsi="Times New Roman" w:cs="Times New Roman"/>
        </w:rPr>
        <w:t xml:space="preserve">eelarve </w:t>
      </w:r>
      <w:r w:rsidR="00070EF6" w:rsidRPr="00034698">
        <w:rPr>
          <w:rFonts w:ascii="Times New Roman" w:hAnsi="Times New Roman" w:cs="Times New Roman"/>
        </w:rPr>
        <w:t xml:space="preserve">põhitegevuse kulude </w:t>
      </w:r>
      <w:r w:rsidR="00023E5E" w:rsidRPr="00034698">
        <w:rPr>
          <w:rFonts w:ascii="Times New Roman" w:hAnsi="Times New Roman" w:cs="Times New Roman"/>
        </w:rPr>
        <w:t>täitmi</w:t>
      </w:r>
      <w:r w:rsidR="00D949D8" w:rsidRPr="00034698">
        <w:rPr>
          <w:rFonts w:ascii="Times New Roman" w:hAnsi="Times New Roman" w:cs="Times New Roman"/>
        </w:rPr>
        <w:t>ne</w:t>
      </w:r>
      <w:r w:rsidR="009F657E" w:rsidRPr="00034698">
        <w:rPr>
          <w:rFonts w:ascii="Times New Roman" w:hAnsi="Times New Roman" w:cs="Times New Roman"/>
        </w:rPr>
        <w:t xml:space="preserve"> oli</w:t>
      </w:r>
      <w:r w:rsidR="00070EF6" w:rsidRPr="00034698">
        <w:rPr>
          <w:rFonts w:ascii="Times New Roman" w:hAnsi="Times New Roman" w:cs="Times New Roman"/>
        </w:rPr>
        <w:t xml:space="preserve"> 93,4</w:t>
      </w:r>
      <w:r w:rsidR="00D949D8" w:rsidRPr="00034698">
        <w:rPr>
          <w:rFonts w:ascii="Times New Roman" w:hAnsi="Times New Roman" w:cs="Times New Roman"/>
        </w:rPr>
        <w:t xml:space="preserve">%. </w:t>
      </w:r>
    </w:p>
    <w:p w:rsidR="006A0944" w:rsidRPr="00AC7DBC" w:rsidRDefault="002B77C6" w:rsidP="006A0944">
      <w:pPr>
        <w:pStyle w:val="Joonis"/>
        <w:rPr>
          <w:rFonts w:ascii="Times New Roman" w:hAnsi="Times New Roman" w:cs="Times New Roman"/>
          <w:color w:val="00B050"/>
        </w:rPr>
      </w:pPr>
      <w:r w:rsidRPr="00AC7DBC">
        <w:rPr>
          <w:rFonts w:ascii="Times New Roman" w:hAnsi="Times New Roman" w:cs="Times New Roman"/>
          <w:color w:val="00B050"/>
        </w:rPr>
        <w:t>Põhitegevuse kulud valdkondade kaupa 201</w:t>
      </w:r>
      <w:r w:rsidR="00761886">
        <w:rPr>
          <w:rFonts w:ascii="Times New Roman" w:hAnsi="Times New Roman" w:cs="Times New Roman"/>
          <w:color w:val="00B050"/>
        </w:rPr>
        <w:t>7</w:t>
      </w:r>
      <w:r w:rsidR="006A0944" w:rsidRPr="00AC7DBC">
        <w:rPr>
          <w:rFonts w:ascii="Times New Roman" w:hAnsi="Times New Roman" w:cs="Times New Roman"/>
          <w:color w:val="00B050"/>
        </w:rPr>
        <w:t>.</w:t>
      </w:r>
      <w:r w:rsidR="00985B8D">
        <w:rPr>
          <w:rFonts w:ascii="Times New Roman" w:hAnsi="Times New Roman" w:cs="Times New Roman"/>
          <w:color w:val="00B050"/>
        </w:rPr>
        <w:t xml:space="preserve"> </w:t>
      </w:r>
      <w:r w:rsidR="006A0944" w:rsidRPr="00AC7DBC">
        <w:rPr>
          <w:rFonts w:ascii="Times New Roman" w:hAnsi="Times New Roman" w:cs="Times New Roman"/>
          <w:color w:val="00B050"/>
        </w:rPr>
        <w:t>aastal võrreldes 201</w:t>
      </w:r>
      <w:r w:rsidR="00761886">
        <w:rPr>
          <w:rFonts w:ascii="Times New Roman" w:hAnsi="Times New Roman" w:cs="Times New Roman"/>
          <w:color w:val="00B050"/>
        </w:rPr>
        <w:t>6</w:t>
      </w:r>
      <w:r w:rsidR="006A0944" w:rsidRPr="00AC7DBC">
        <w:rPr>
          <w:rFonts w:ascii="Times New Roman" w:hAnsi="Times New Roman" w:cs="Times New Roman"/>
          <w:color w:val="00B050"/>
        </w:rPr>
        <w:t>.</w:t>
      </w:r>
      <w:r w:rsidR="007B1CF7" w:rsidRPr="00AC7DBC">
        <w:rPr>
          <w:rFonts w:ascii="Times New Roman" w:hAnsi="Times New Roman" w:cs="Times New Roman"/>
          <w:color w:val="00B050"/>
        </w:rPr>
        <w:t xml:space="preserve"> </w:t>
      </w:r>
      <w:r w:rsidR="006A0944" w:rsidRPr="00AC7DBC">
        <w:rPr>
          <w:rFonts w:ascii="Times New Roman" w:hAnsi="Times New Roman" w:cs="Times New Roman"/>
          <w:color w:val="00B050"/>
        </w:rPr>
        <w:t xml:space="preserve">aasta </w:t>
      </w:r>
      <w:r w:rsidR="002626AE">
        <w:rPr>
          <w:rFonts w:ascii="Times New Roman" w:hAnsi="Times New Roman" w:cs="Times New Roman"/>
          <w:color w:val="00B050"/>
        </w:rPr>
        <w:t>eelarve täitmisega</w:t>
      </w:r>
    </w:p>
    <w:p w:rsidR="00761886" w:rsidRPr="00EB3F6A" w:rsidRDefault="00761886" w:rsidP="006A0944">
      <w:pPr>
        <w:jc w:val="both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62267A91" wp14:editId="05FCF527">
            <wp:extent cx="5762445" cy="2889849"/>
            <wp:effectExtent l="0" t="0" r="1016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944" w:rsidRPr="00AC7DBC" w:rsidRDefault="006A0944" w:rsidP="008F3FE2">
      <w:pPr>
        <w:spacing w:after="0"/>
        <w:jc w:val="both"/>
        <w:rPr>
          <w:rFonts w:ascii="Times New Roman" w:hAnsi="Times New Roman" w:cs="Times New Roman"/>
          <w:b/>
          <w:bCs/>
          <w:color w:val="00B050"/>
        </w:rPr>
      </w:pPr>
      <w:r w:rsidRPr="00AC7DBC">
        <w:rPr>
          <w:rFonts w:ascii="Times New Roman" w:hAnsi="Times New Roman" w:cs="Times New Roman"/>
          <w:b/>
          <w:bCs/>
          <w:color w:val="00B050"/>
        </w:rPr>
        <w:t>Investeerimistegevus</w:t>
      </w:r>
    </w:p>
    <w:p w:rsidR="006A0944" w:rsidRPr="00AC7DBC" w:rsidRDefault="006A0944" w:rsidP="008F3FE2">
      <w:pPr>
        <w:spacing w:after="0"/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>201</w:t>
      </w:r>
      <w:r w:rsidR="00EB3F6A">
        <w:rPr>
          <w:rFonts w:ascii="Times New Roman" w:hAnsi="Times New Roman" w:cs="Times New Roman"/>
          <w:b/>
        </w:rPr>
        <w:t>7</w:t>
      </w:r>
      <w:r w:rsidRPr="00AC7DBC">
        <w:rPr>
          <w:rFonts w:ascii="Times New Roman" w:hAnsi="Times New Roman" w:cs="Times New Roman"/>
          <w:b/>
        </w:rPr>
        <w:t>.</w:t>
      </w:r>
      <w:r w:rsidR="008F3FE2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 xml:space="preserve">aasta eelarves on planeeritud investeeringukulud </w:t>
      </w:r>
      <w:r w:rsidR="00070EF6">
        <w:rPr>
          <w:rFonts w:ascii="Times New Roman" w:hAnsi="Times New Roman" w:cs="Times New Roman"/>
          <w:b/>
        </w:rPr>
        <w:t>658,8</w:t>
      </w:r>
      <w:r w:rsidRPr="00AC7DBC">
        <w:rPr>
          <w:rFonts w:ascii="Times New Roman" w:hAnsi="Times New Roman" w:cs="Times New Roman"/>
          <w:b/>
        </w:rPr>
        <w:t xml:space="preserve"> </w:t>
      </w:r>
      <w:r w:rsidR="007B1CF7" w:rsidRPr="00AC7DBC">
        <w:rPr>
          <w:rFonts w:ascii="Times New Roman" w:hAnsi="Times New Roman" w:cs="Times New Roman"/>
          <w:b/>
        </w:rPr>
        <w:t>tuhat</w:t>
      </w:r>
      <w:r w:rsidRPr="00AC7DBC">
        <w:rPr>
          <w:rFonts w:ascii="Times New Roman" w:hAnsi="Times New Roman" w:cs="Times New Roman"/>
          <w:b/>
        </w:rPr>
        <w:t xml:space="preserve"> eurot, mis on </w:t>
      </w:r>
      <w:r w:rsidR="00070EF6">
        <w:rPr>
          <w:rFonts w:ascii="Times New Roman" w:hAnsi="Times New Roman" w:cs="Times New Roman"/>
          <w:b/>
        </w:rPr>
        <w:t>348,9 tuhat eurot ehk 112,6% suurem</w:t>
      </w:r>
      <w:r w:rsidRPr="00AC7DBC">
        <w:rPr>
          <w:rFonts w:ascii="Times New Roman" w:hAnsi="Times New Roman" w:cs="Times New Roman"/>
          <w:b/>
        </w:rPr>
        <w:t xml:space="preserve"> kui 201</w:t>
      </w:r>
      <w:r w:rsidR="00070EF6">
        <w:rPr>
          <w:rFonts w:ascii="Times New Roman" w:hAnsi="Times New Roman" w:cs="Times New Roman"/>
          <w:b/>
        </w:rPr>
        <w:t>6</w:t>
      </w:r>
      <w:r w:rsidRPr="00AC7DBC">
        <w:rPr>
          <w:rFonts w:ascii="Times New Roman" w:hAnsi="Times New Roman" w:cs="Times New Roman"/>
          <w:b/>
        </w:rPr>
        <w:t>.</w:t>
      </w:r>
      <w:r w:rsidR="008F3FE2">
        <w:rPr>
          <w:rFonts w:ascii="Times New Roman" w:hAnsi="Times New Roman" w:cs="Times New Roman"/>
          <w:b/>
        </w:rPr>
        <w:t xml:space="preserve"> </w:t>
      </w:r>
      <w:r w:rsidRPr="00AC7DBC">
        <w:rPr>
          <w:rFonts w:ascii="Times New Roman" w:hAnsi="Times New Roman" w:cs="Times New Roman"/>
          <w:b/>
        </w:rPr>
        <w:t>aastal.</w:t>
      </w:r>
    </w:p>
    <w:p w:rsidR="006A0944" w:rsidRPr="00AC7DBC" w:rsidRDefault="00105AB9" w:rsidP="00E51D6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Investeerimistegevuse kulude eelarve </w:t>
      </w:r>
      <w:r w:rsidR="006A0944" w:rsidRPr="00AC7DBC">
        <w:rPr>
          <w:rFonts w:ascii="Times New Roman" w:hAnsi="Times New Roman" w:cs="Times New Roman"/>
          <w:b/>
        </w:rPr>
        <w:t>koosne</w:t>
      </w:r>
      <w:r>
        <w:rPr>
          <w:rFonts w:ascii="Times New Roman" w:hAnsi="Times New Roman" w:cs="Times New Roman"/>
          <w:b/>
        </w:rPr>
        <w:t>b</w:t>
      </w:r>
      <w:r w:rsidR="006A0944" w:rsidRPr="00AC7DBC">
        <w:rPr>
          <w:rFonts w:ascii="Times New Roman" w:hAnsi="Times New Roman" w:cs="Times New Roman"/>
          <w:b/>
        </w:rPr>
        <w:t>:</w:t>
      </w:r>
    </w:p>
    <w:p w:rsidR="006A0944" w:rsidRPr="00AC7DBC" w:rsidRDefault="006A0944" w:rsidP="00E51D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t>Põhivara soetusest</w:t>
      </w:r>
      <w:r w:rsidR="00EB3F6A">
        <w:rPr>
          <w:rFonts w:ascii="Times New Roman" w:hAnsi="Times New Roman" w:cs="Times New Roman"/>
        </w:rPr>
        <w:t>, mis moodustab 99,3</w:t>
      </w:r>
      <w:r w:rsidR="00D949D8" w:rsidRPr="00AC7DBC">
        <w:rPr>
          <w:rFonts w:ascii="Times New Roman" w:hAnsi="Times New Roman" w:cs="Times New Roman"/>
        </w:rPr>
        <w:t xml:space="preserve">% </w:t>
      </w:r>
      <w:r w:rsidR="00EB3F6A">
        <w:rPr>
          <w:rFonts w:ascii="Times New Roman" w:hAnsi="Times New Roman" w:cs="Times New Roman"/>
        </w:rPr>
        <w:t>ehk 654,3 tuhat eurot, suurenedes 136,1</w:t>
      </w:r>
      <w:r w:rsidRPr="00AC7DBC">
        <w:rPr>
          <w:rFonts w:ascii="Times New Roman" w:hAnsi="Times New Roman" w:cs="Times New Roman"/>
        </w:rPr>
        <w:t xml:space="preserve">% </w:t>
      </w:r>
      <w:r w:rsidR="00E51D6D">
        <w:rPr>
          <w:rFonts w:ascii="Times New Roman" w:hAnsi="Times New Roman" w:cs="Times New Roman"/>
        </w:rPr>
        <w:t>ehk 377,1 tuhat eurot;</w:t>
      </w:r>
    </w:p>
    <w:p w:rsidR="006A0944" w:rsidRPr="00105AB9" w:rsidRDefault="006A0944" w:rsidP="006A09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C7DBC">
        <w:rPr>
          <w:rFonts w:ascii="Times New Roman" w:hAnsi="Times New Roman" w:cs="Times New Roman"/>
          <w:b/>
        </w:rPr>
        <w:t>Intressikuludest</w:t>
      </w:r>
      <w:r w:rsidR="00312F7D" w:rsidRPr="00AC7DBC">
        <w:rPr>
          <w:rFonts w:ascii="Times New Roman" w:hAnsi="Times New Roman" w:cs="Times New Roman"/>
          <w:b/>
        </w:rPr>
        <w:t>:</w:t>
      </w:r>
      <w:r w:rsidRPr="00AC7DBC">
        <w:rPr>
          <w:rFonts w:ascii="Times New Roman" w:hAnsi="Times New Roman" w:cs="Times New Roman"/>
          <w:b/>
        </w:rPr>
        <w:t xml:space="preserve"> </w:t>
      </w:r>
      <w:r w:rsidR="00EB3F6A">
        <w:rPr>
          <w:rFonts w:ascii="Times New Roman" w:hAnsi="Times New Roman" w:cs="Times New Roman"/>
        </w:rPr>
        <w:t>4,5</w:t>
      </w:r>
      <w:r w:rsidR="00A4583D" w:rsidRPr="00AC7DBC">
        <w:rPr>
          <w:rFonts w:ascii="Times New Roman" w:hAnsi="Times New Roman" w:cs="Times New Roman"/>
          <w:b/>
        </w:rPr>
        <w:t xml:space="preserve"> </w:t>
      </w:r>
      <w:r w:rsidR="00A4583D" w:rsidRPr="00AC7DBC">
        <w:rPr>
          <w:rFonts w:ascii="Times New Roman" w:hAnsi="Times New Roman" w:cs="Times New Roman"/>
        </w:rPr>
        <w:t xml:space="preserve">tuhat </w:t>
      </w:r>
      <w:r w:rsidRPr="00AC7DBC">
        <w:rPr>
          <w:rFonts w:ascii="Times New Roman" w:hAnsi="Times New Roman" w:cs="Times New Roman"/>
        </w:rPr>
        <w:t xml:space="preserve"> eurot</w:t>
      </w:r>
      <w:r w:rsidR="00312F7D" w:rsidRPr="00AC7DBC">
        <w:rPr>
          <w:rFonts w:ascii="Times New Roman" w:hAnsi="Times New Roman" w:cs="Times New Roman"/>
        </w:rPr>
        <w:t>.</w:t>
      </w:r>
      <w:r w:rsidRPr="00AC7DBC">
        <w:rPr>
          <w:rFonts w:ascii="Times New Roman" w:hAnsi="Times New Roman" w:cs="Times New Roman"/>
        </w:rPr>
        <w:t xml:space="preserve"> 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52"/>
        <w:gridCol w:w="820"/>
        <w:gridCol w:w="820"/>
        <w:gridCol w:w="740"/>
        <w:gridCol w:w="3686"/>
      </w:tblGrid>
      <w:tr w:rsidR="00105AB9" w:rsidRPr="00105AB9" w:rsidTr="00105AB9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Selgitus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Maksumus eelarves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OF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OF laenu arvelt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t-EE"/>
              </w:rPr>
              <w:t>Märkus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Investeeringud valla teedesse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78491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23520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54971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OF toetusfondi eraldus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Kergliiklustee ehitamine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213226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36774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105AB9" w:rsidRPr="00105AB9" w:rsidTr="00105AB9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Üldmajanduslikud arendusprojektid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võib väheneda, kui investeerimistegevuse tulude pool on alatäidetud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Tänavavalgustuse rajamine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034698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Jaama tn, Kuusiku, Kanarbiku jne</w:t>
            </w:r>
            <w:bookmarkStart w:id="0" w:name="_GoBack"/>
            <w:bookmarkEnd w:id="0"/>
          </w:p>
        </w:tc>
      </w:tr>
      <w:tr w:rsidR="00105AB9" w:rsidRPr="00105AB9" w:rsidTr="00105AB9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Rahvamaja</w:t>
            </w:r>
            <w:r w:rsidR="0003469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fassaadi</w:t>
            </w:r>
            <w:r w:rsidRPr="00447207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renoveerimine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46500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157700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OF ühinemistoetuse arvelt, toetus 80,0 tuh eurot lisatakse eelarvesse projekti edukaks tunnistamise korral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Kohtla-Nõmme skatepargi rajamine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29314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26383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2931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Kohtla-Nõmme Kool virgestusala</w:t>
            </w:r>
            <w:r w:rsidR="0003469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rajamine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23358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2336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105AB9" w:rsidRPr="00105AB9" w:rsidTr="00105AB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652363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260631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6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179061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212671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B9" w:rsidRPr="00447207" w:rsidRDefault="00105AB9" w:rsidP="0010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44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</w:tbl>
    <w:p w:rsidR="00034698" w:rsidRDefault="00034698" w:rsidP="006A0944">
      <w:pPr>
        <w:jc w:val="both"/>
        <w:rPr>
          <w:rFonts w:ascii="Times New Roman" w:hAnsi="Times New Roman" w:cs="Times New Roman"/>
          <w:b/>
        </w:rPr>
      </w:pPr>
    </w:p>
    <w:p w:rsidR="009F162B" w:rsidRPr="00AC7DBC" w:rsidRDefault="005F6653" w:rsidP="006A0944">
      <w:pPr>
        <w:jc w:val="both"/>
        <w:rPr>
          <w:rFonts w:ascii="Times New Roman" w:hAnsi="Times New Roman" w:cs="Times New Roman"/>
        </w:rPr>
      </w:pPr>
      <w:r w:rsidRPr="00AC7DBC">
        <w:rPr>
          <w:rFonts w:ascii="Times New Roman" w:hAnsi="Times New Roman" w:cs="Times New Roman"/>
          <w:b/>
        </w:rPr>
        <w:lastRenderedPageBreak/>
        <w:t>N</w:t>
      </w:r>
      <w:r w:rsidR="006A0944" w:rsidRPr="00AC7DBC">
        <w:rPr>
          <w:rFonts w:ascii="Times New Roman" w:hAnsi="Times New Roman" w:cs="Times New Roman"/>
          <w:b/>
        </w:rPr>
        <w:t>etovõlakoormus</w:t>
      </w:r>
      <w:r w:rsidR="003911B5">
        <w:rPr>
          <w:rFonts w:ascii="Times New Roman" w:hAnsi="Times New Roman" w:cs="Times New Roman"/>
          <w:b/>
        </w:rPr>
        <w:t>e prognoos</w:t>
      </w:r>
      <w:r w:rsidR="006A0944" w:rsidRPr="00AC7DBC">
        <w:rPr>
          <w:rFonts w:ascii="Times New Roman" w:hAnsi="Times New Roman" w:cs="Times New Roman"/>
          <w:b/>
        </w:rPr>
        <w:t xml:space="preserve"> </w:t>
      </w:r>
      <w:r w:rsidR="006A0944" w:rsidRPr="00AC7DBC">
        <w:rPr>
          <w:rFonts w:ascii="Times New Roman" w:hAnsi="Times New Roman" w:cs="Times New Roman"/>
        </w:rPr>
        <w:t xml:space="preserve">(kohustused miinus likviidne vara) </w:t>
      </w:r>
      <w:r w:rsidR="00705EE2" w:rsidRPr="00AC7DBC">
        <w:rPr>
          <w:rFonts w:ascii="Times New Roman" w:hAnsi="Times New Roman" w:cs="Times New Roman"/>
        </w:rPr>
        <w:t>moodustab</w:t>
      </w:r>
      <w:r w:rsidR="003911B5">
        <w:rPr>
          <w:rFonts w:ascii="Times New Roman" w:hAnsi="Times New Roman" w:cs="Times New Roman"/>
        </w:rPr>
        <w:t xml:space="preserve"> eelarveaasta lõpuks 373,2 tuhat eurot ehk 22,6</w:t>
      </w:r>
      <w:r w:rsidR="00705EE2" w:rsidRPr="00AC7DBC">
        <w:rPr>
          <w:rFonts w:ascii="Times New Roman" w:hAnsi="Times New Roman" w:cs="Times New Roman"/>
        </w:rPr>
        <w:t>%</w:t>
      </w:r>
      <w:r w:rsidR="003911B5">
        <w:rPr>
          <w:rFonts w:ascii="Times New Roman" w:hAnsi="Times New Roman" w:cs="Times New Roman"/>
        </w:rPr>
        <w:t>.</w:t>
      </w:r>
      <w:r w:rsidR="006A0944" w:rsidRPr="00AC7DBC">
        <w:rPr>
          <w:rFonts w:ascii="Times New Roman" w:hAnsi="Times New Roman" w:cs="Times New Roman"/>
        </w:rPr>
        <w:t xml:space="preserve"> Seaduse </w:t>
      </w:r>
      <w:r w:rsidR="00687D09" w:rsidRPr="00AC7DBC">
        <w:rPr>
          <w:rFonts w:ascii="Times New Roman" w:hAnsi="Times New Roman" w:cs="Times New Roman"/>
        </w:rPr>
        <w:t>kohaselt on valla ülempiiriks 60</w:t>
      </w:r>
      <w:r w:rsidR="006A0944" w:rsidRPr="00AC7DBC">
        <w:rPr>
          <w:rFonts w:ascii="Times New Roman" w:hAnsi="Times New Roman" w:cs="Times New Roman"/>
        </w:rPr>
        <w:t xml:space="preserve">%, mis tähendab, et </w:t>
      </w:r>
      <w:r w:rsidR="00687D09" w:rsidRPr="00AC7DBC">
        <w:rPr>
          <w:rFonts w:ascii="Times New Roman" w:hAnsi="Times New Roman" w:cs="Times New Roman"/>
        </w:rPr>
        <w:t xml:space="preserve">vallal on </w:t>
      </w:r>
      <w:r w:rsidR="006A0944" w:rsidRPr="00AC7DBC">
        <w:rPr>
          <w:rFonts w:ascii="Times New Roman" w:hAnsi="Times New Roman" w:cs="Times New Roman"/>
        </w:rPr>
        <w:t>võimalus täiendavalt laenu võtta</w:t>
      </w:r>
      <w:r w:rsidR="009F162B" w:rsidRPr="00AC7DBC">
        <w:rPr>
          <w:rFonts w:ascii="Times New Roman" w:hAnsi="Times New Roman" w:cs="Times New Roman"/>
        </w:rPr>
        <w:t xml:space="preserve"> investeerimistegevuseks.</w:t>
      </w:r>
      <w:r w:rsidR="006A0944" w:rsidRPr="00AC7DBC">
        <w:rPr>
          <w:rFonts w:ascii="Times New Roman" w:hAnsi="Times New Roman" w:cs="Times New Roman"/>
        </w:rPr>
        <w:t xml:space="preserve"> Käesoleval aastal on valla </w:t>
      </w:r>
      <w:r w:rsidR="006A0944" w:rsidRPr="00AC7DBC">
        <w:rPr>
          <w:rFonts w:ascii="Times New Roman" w:hAnsi="Times New Roman" w:cs="Times New Roman"/>
          <w:b/>
        </w:rPr>
        <w:t xml:space="preserve">omafinantseerimisvõime </w:t>
      </w:r>
      <w:r w:rsidR="009F162B" w:rsidRPr="00AC7DBC">
        <w:rPr>
          <w:rFonts w:ascii="Times New Roman" w:hAnsi="Times New Roman" w:cs="Times New Roman"/>
          <w:b/>
        </w:rPr>
        <w:t xml:space="preserve">kordaja 1,0 </w:t>
      </w:r>
      <w:r w:rsidR="006A0944" w:rsidRPr="00AC7DBC">
        <w:rPr>
          <w:rFonts w:ascii="Times New Roman" w:hAnsi="Times New Roman" w:cs="Times New Roman"/>
        </w:rPr>
        <w:t xml:space="preserve">ehk põhitegevuse tulude ja põhitegevuse kulude vahe </w:t>
      </w:r>
      <w:r w:rsidR="00312F7D" w:rsidRPr="00AC7DBC">
        <w:rPr>
          <w:rFonts w:ascii="Times New Roman" w:hAnsi="Times New Roman" w:cs="Times New Roman"/>
        </w:rPr>
        <w:t xml:space="preserve">on </w:t>
      </w:r>
      <w:r w:rsidR="00D521C9">
        <w:rPr>
          <w:rFonts w:ascii="Times New Roman" w:hAnsi="Times New Roman" w:cs="Times New Roman"/>
        </w:rPr>
        <w:t>1149</w:t>
      </w:r>
      <w:r w:rsidR="009F162B" w:rsidRPr="00AC7DBC">
        <w:rPr>
          <w:rFonts w:ascii="Times New Roman" w:hAnsi="Times New Roman" w:cs="Times New Roman"/>
        </w:rPr>
        <w:t xml:space="preserve"> eurot. </w:t>
      </w:r>
    </w:p>
    <w:p w:rsidR="006A0944" w:rsidRPr="00AC7DBC" w:rsidRDefault="006A0944" w:rsidP="006A0944">
      <w:pPr>
        <w:jc w:val="both"/>
        <w:rPr>
          <w:rFonts w:ascii="Times New Roman" w:hAnsi="Times New Roman" w:cs="Times New Roman"/>
          <w:i/>
        </w:rPr>
      </w:pPr>
      <w:r w:rsidRPr="00AC7DBC">
        <w:rPr>
          <w:rFonts w:ascii="Times New Roman" w:hAnsi="Times New Roman" w:cs="Times New Roman"/>
          <w:b/>
        </w:rPr>
        <w:t>Likviidsete varad</w:t>
      </w:r>
      <w:r w:rsidR="0026186F" w:rsidRPr="00AC7DBC">
        <w:rPr>
          <w:rFonts w:ascii="Times New Roman" w:hAnsi="Times New Roman" w:cs="Times New Roman"/>
          <w:b/>
        </w:rPr>
        <w:t xml:space="preserve">e </w:t>
      </w:r>
      <w:r w:rsidRPr="00AC7DBC">
        <w:rPr>
          <w:rFonts w:ascii="Times New Roman" w:hAnsi="Times New Roman" w:cs="Times New Roman"/>
          <w:b/>
        </w:rPr>
        <w:t>maht</w:t>
      </w:r>
      <w:r w:rsidRPr="00AC7DBC">
        <w:rPr>
          <w:rFonts w:ascii="Times New Roman" w:hAnsi="Times New Roman" w:cs="Times New Roman"/>
        </w:rPr>
        <w:t xml:space="preserve"> </w:t>
      </w:r>
      <w:r w:rsidR="0026186F" w:rsidRPr="00AC7DBC">
        <w:rPr>
          <w:rFonts w:ascii="Times New Roman" w:hAnsi="Times New Roman" w:cs="Times New Roman"/>
        </w:rPr>
        <w:t>väheneb</w:t>
      </w:r>
      <w:r w:rsidRPr="00AC7DBC">
        <w:rPr>
          <w:rFonts w:ascii="Times New Roman" w:hAnsi="Times New Roman" w:cs="Times New Roman"/>
        </w:rPr>
        <w:t xml:space="preserve"> </w:t>
      </w:r>
      <w:r w:rsidR="00D521C9">
        <w:rPr>
          <w:rFonts w:ascii="Times New Roman" w:hAnsi="Times New Roman" w:cs="Times New Roman"/>
        </w:rPr>
        <w:t>1</w:t>
      </w:r>
      <w:r w:rsidR="00F44A53">
        <w:rPr>
          <w:rFonts w:ascii="Times New Roman" w:hAnsi="Times New Roman" w:cs="Times New Roman"/>
        </w:rPr>
        <w:t>80,0 tuhande euro võrra, ulatudes 27,2</w:t>
      </w:r>
      <w:r w:rsidR="0026186F" w:rsidRPr="00AC7DBC">
        <w:rPr>
          <w:rFonts w:ascii="Times New Roman" w:hAnsi="Times New Roman" w:cs="Times New Roman"/>
        </w:rPr>
        <w:t xml:space="preserve"> tuhande euroni</w:t>
      </w:r>
      <w:r w:rsidR="00F44A53">
        <w:rPr>
          <w:rFonts w:ascii="Times New Roman" w:hAnsi="Times New Roman" w:cs="Times New Roman"/>
        </w:rPr>
        <w:t>.</w:t>
      </w:r>
      <w:r w:rsidR="004C7E42" w:rsidRPr="00AC7DBC">
        <w:rPr>
          <w:rFonts w:ascii="Times New Roman" w:hAnsi="Times New Roman" w:cs="Times New Roman"/>
        </w:rPr>
        <w:t xml:space="preserve"> </w:t>
      </w:r>
    </w:p>
    <w:p w:rsidR="0053469E" w:rsidRPr="00AC7DBC" w:rsidRDefault="0053469E"/>
    <w:sectPr w:rsidR="0053469E" w:rsidRPr="00AC7DBC" w:rsidSect="0066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EB" w:rsidRDefault="00DC64EB" w:rsidP="006A0944">
      <w:pPr>
        <w:spacing w:after="0" w:line="240" w:lineRule="auto"/>
      </w:pPr>
      <w:r>
        <w:separator/>
      </w:r>
    </w:p>
  </w:endnote>
  <w:endnote w:type="continuationSeparator" w:id="0">
    <w:p w:rsidR="00DC64EB" w:rsidRDefault="00DC64EB" w:rsidP="006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EB" w:rsidRDefault="00DC64EB" w:rsidP="006A0944">
      <w:pPr>
        <w:spacing w:after="0" w:line="240" w:lineRule="auto"/>
      </w:pPr>
      <w:r>
        <w:separator/>
      </w:r>
    </w:p>
  </w:footnote>
  <w:footnote w:type="continuationSeparator" w:id="0">
    <w:p w:rsidR="00DC64EB" w:rsidRDefault="00DC64EB" w:rsidP="006A0944">
      <w:pPr>
        <w:spacing w:after="0" w:line="240" w:lineRule="auto"/>
      </w:pPr>
      <w:r>
        <w:continuationSeparator/>
      </w:r>
    </w:p>
  </w:footnote>
  <w:footnote w:id="1">
    <w:p w:rsidR="006A0944" w:rsidRDefault="006A0944" w:rsidP="006A09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6A22B7">
        <w:rPr>
          <w:rFonts w:ascii="Times New Roman" w:hAnsi="Times New Roman" w:cs="Times New Roman"/>
          <w:sz w:val="16"/>
          <w:szCs w:val="16"/>
        </w:rPr>
        <w:t xml:space="preserve">aksutulud, tulud kaupade ja teenuste müügist, saadavad toetused, muud </w:t>
      </w:r>
      <w:r w:rsidR="00531115">
        <w:rPr>
          <w:rFonts w:ascii="Times New Roman" w:hAnsi="Times New Roman" w:cs="Times New Roman"/>
          <w:sz w:val="16"/>
          <w:szCs w:val="16"/>
        </w:rPr>
        <w:t xml:space="preserve"> </w:t>
      </w:r>
      <w:r w:rsidRPr="006A22B7">
        <w:rPr>
          <w:rFonts w:ascii="Times New Roman" w:hAnsi="Times New Roman" w:cs="Times New Roman"/>
          <w:sz w:val="16"/>
          <w:szCs w:val="16"/>
        </w:rPr>
        <w:t>tegevustulud</w:t>
      </w:r>
    </w:p>
  </w:footnote>
  <w:footnote w:id="2">
    <w:p w:rsidR="006A0944" w:rsidRDefault="006A0944" w:rsidP="006A094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4462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s</w:t>
      </w:r>
      <w:r w:rsidRPr="00C4462B">
        <w:rPr>
          <w:rFonts w:ascii="Times New Roman" w:hAnsi="Times New Roman" w:cs="Times New Roman"/>
          <w:sz w:val="16"/>
          <w:szCs w:val="16"/>
        </w:rPr>
        <w:t>ellist tähistust, võrdlemaks 201</w:t>
      </w:r>
      <w:r w:rsidR="003C068D">
        <w:rPr>
          <w:rFonts w:ascii="Times New Roman" w:hAnsi="Times New Roman" w:cs="Times New Roman"/>
          <w:sz w:val="16"/>
          <w:szCs w:val="16"/>
        </w:rPr>
        <w:t>7</w:t>
      </w:r>
      <w:r w:rsidRPr="00C4462B">
        <w:rPr>
          <w:rFonts w:ascii="Times New Roman" w:hAnsi="Times New Roman" w:cs="Times New Roman"/>
          <w:sz w:val="16"/>
          <w:szCs w:val="16"/>
        </w:rPr>
        <w:t>.aasta eelarvet 201</w:t>
      </w:r>
      <w:r w:rsidR="003C068D">
        <w:rPr>
          <w:rFonts w:ascii="Times New Roman" w:hAnsi="Times New Roman" w:cs="Times New Roman"/>
          <w:sz w:val="16"/>
          <w:szCs w:val="16"/>
        </w:rPr>
        <w:t>6</w:t>
      </w:r>
      <w:r w:rsidRPr="00C4462B">
        <w:rPr>
          <w:rFonts w:ascii="Times New Roman" w:hAnsi="Times New Roman" w:cs="Times New Roman"/>
          <w:sz w:val="16"/>
          <w:szCs w:val="16"/>
        </w:rPr>
        <w:t xml:space="preserve">.aasta eelarve täitmisega, </w:t>
      </w:r>
      <w:r>
        <w:rPr>
          <w:rFonts w:ascii="Times New Roman" w:hAnsi="Times New Roman" w:cs="Times New Roman"/>
          <w:sz w:val="16"/>
          <w:szCs w:val="16"/>
        </w:rPr>
        <w:t>kasutatakse dokumendis läbivalt</w:t>
      </w:r>
    </w:p>
    <w:p w:rsidR="00F575A6" w:rsidRDefault="00F575A6" w:rsidP="006A0944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:rsidR="00F575A6" w:rsidRPr="00C4462B" w:rsidRDefault="00F575A6" w:rsidP="006A0944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6A0944" w:rsidRDefault="006A0944" w:rsidP="006A09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22B7">
        <w:rPr>
          <w:rFonts w:ascii="Times New Roman" w:hAnsi="Times New Roman" w:cs="Times New Roman"/>
          <w:sz w:val="16"/>
          <w:szCs w:val="16"/>
        </w:rPr>
        <w:t>antavad toetused, muud tegevuskulud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E"/>
    <w:rsid w:val="00023E5E"/>
    <w:rsid w:val="00034698"/>
    <w:rsid w:val="000575DD"/>
    <w:rsid w:val="00070EF6"/>
    <w:rsid w:val="00091E2F"/>
    <w:rsid w:val="000E1C8A"/>
    <w:rsid w:val="000F2270"/>
    <w:rsid w:val="001013EA"/>
    <w:rsid w:val="00105AB9"/>
    <w:rsid w:val="00146F9D"/>
    <w:rsid w:val="0017364C"/>
    <w:rsid w:val="001A087F"/>
    <w:rsid w:val="001A7138"/>
    <w:rsid w:val="001C044D"/>
    <w:rsid w:val="001C40D1"/>
    <w:rsid w:val="001F1FD6"/>
    <w:rsid w:val="00231C22"/>
    <w:rsid w:val="00235710"/>
    <w:rsid w:val="00252946"/>
    <w:rsid w:val="00256748"/>
    <w:rsid w:val="0026186F"/>
    <w:rsid w:val="002626AE"/>
    <w:rsid w:val="00263A17"/>
    <w:rsid w:val="0027768C"/>
    <w:rsid w:val="00282721"/>
    <w:rsid w:val="002B77C6"/>
    <w:rsid w:val="002F1EBF"/>
    <w:rsid w:val="00312F7D"/>
    <w:rsid w:val="0032630E"/>
    <w:rsid w:val="003621D3"/>
    <w:rsid w:val="003911B5"/>
    <w:rsid w:val="003C068D"/>
    <w:rsid w:val="003C0C15"/>
    <w:rsid w:val="004072B3"/>
    <w:rsid w:val="00424CC8"/>
    <w:rsid w:val="00447207"/>
    <w:rsid w:val="004C7E42"/>
    <w:rsid w:val="00531115"/>
    <w:rsid w:val="0053469E"/>
    <w:rsid w:val="005473D7"/>
    <w:rsid w:val="005604FF"/>
    <w:rsid w:val="005E1DEE"/>
    <w:rsid w:val="005F6653"/>
    <w:rsid w:val="00605A4A"/>
    <w:rsid w:val="00624EAE"/>
    <w:rsid w:val="006310B0"/>
    <w:rsid w:val="006434F2"/>
    <w:rsid w:val="006561F2"/>
    <w:rsid w:val="00687D09"/>
    <w:rsid w:val="006A0944"/>
    <w:rsid w:val="006C2710"/>
    <w:rsid w:val="00705EE2"/>
    <w:rsid w:val="0071268B"/>
    <w:rsid w:val="007435B2"/>
    <w:rsid w:val="00761886"/>
    <w:rsid w:val="00773DC5"/>
    <w:rsid w:val="007B1CF7"/>
    <w:rsid w:val="007F0260"/>
    <w:rsid w:val="008B4D24"/>
    <w:rsid w:val="008C7D0A"/>
    <w:rsid w:val="008E0253"/>
    <w:rsid w:val="008F3FE2"/>
    <w:rsid w:val="00904868"/>
    <w:rsid w:val="00940312"/>
    <w:rsid w:val="0097081B"/>
    <w:rsid w:val="00972109"/>
    <w:rsid w:val="00985B8D"/>
    <w:rsid w:val="00996903"/>
    <w:rsid w:val="009B334C"/>
    <w:rsid w:val="009F162B"/>
    <w:rsid w:val="009F657E"/>
    <w:rsid w:val="00A15A10"/>
    <w:rsid w:val="00A3692E"/>
    <w:rsid w:val="00A36A9F"/>
    <w:rsid w:val="00A4583D"/>
    <w:rsid w:val="00A621D4"/>
    <w:rsid w:val="00AB1BE0"/>
    <w:rsid w:val="00AC7DBC"/>
    <w:rsid w:val="00B06CFB"/>
    <w:rsid w:val="00B357DC"/>
    <w:rsid w:val="00B3587C"/>
    <w:rsid w:val="00B72A8F"/>
    <w:rsid w:val="00B9722B"/>
    <w:rsid w:val="00BB29D3"/>
    <w:rsid w:val="00C31BC9"/>
    <w:rsid w:val="00C32DE7"/>
    <w:rsid w:val="00C86A32"/>
    <w:rsid w:val="00C938D9"/>
    <w:rsid w:val="00CE7631"/>
    <w:rsid w:val="00D0333A"/>
    <w:rsid w:val="00D05A19"/>
    <w:rsid w:val="00D521C9"/>
    <w:rsid w:val="00D87C7C"/>
    <w:rsid w:val="00D916F7"/>
    <w:rsid w:val="00D949D8"/>
    <w:rsid w:val="00DA28A5"/>
    <w:rsid w:val="00DB4F70"/>
    <w:rsid w:val="00DC64EB"/>
    <w:rsid w:val="00E47871"/>
    <w:rsid w:val="00E51D6D"/>
    <w:rsid w:val="00E96A92"/>
    <w:rsid w:val="00EB3F6A"/>
    <w:rsid w:val="00ED7190"/>
    <w:rsid w:val="00F44A53"/>
    <w:rsid w:val="00F44D2D"/>
    <w:rsid w:val="00F575A6"/>
    <w:rsid w:val="00F6359D"/>
    <w:rsid w:val="00F95B1C"/>
    <w:rsid w:val="00FC408E"/>
    <w:rsid w:val="00FC7321"/>
    <w:rsid w:val="00FE017A"/>
    <w:rsid w:val="00FE01F1"/>
    <w:rsid w:val="00FE7B54"/>
    <w:rsid w:val="00FF2BD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44"/>
  </w:style>
  <w:style w:type="paragraph" w:styleId="Heading1">
    <w:name w:val="heading 1"/>
    <w:basedOn w:val="Normal"/>
    <w:next w:val="Normal"/>
    <w:link w:val="Heading1Char"/>
    <w:uiPriority w:val="9"/>
    <w:qFormat/>
    <w:rsid w:val="006A0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44"/>
  </w:style>
  <w:style w:type="paragraph" w:styleId="FootnoteText">
    <w:name w:val="footnote text"/>
    <w:basedOn w:val="Normal"/>
    <w:link w:val="FootnoteTextChar"/>
    <w:uiPriority w:val="99"/>
    <w:semiHidden/>
    <w:unhideWhenUsed/>
    <w:rsid w:val="006A0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9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944"/>
    <w:rPr>
      <w:vertAlign w:val="superscript"/>
    </w:rPr>
  </w:style>
  <w:style w:type="paragraph" w:customStyle="1" w:styleId="Pealkiri1">
    <w:name w:val="Pealkiri1"/>
    <w:basedOn w:val="Heading1"/>
    <w:link w:val="PealkiriChar"/>
    <w:qFormat/>
    <w:rsid w:val="006A0944"/>
    <w:rPr>
      <w:color w:val="4F81BD" w:themeColor="accent1"/>
      <w:sz w:val="24"/>
      <w:szCs w:val="24"/>
    </w:rPr>
  </w:style>
  <w:style w:type="paragraph" w:customStyle="1" w:styleId="Joonis">
    <w:name w:val="Joonis"/>
    <w:basedOn w:val="Normal"/>
    <w:link w:val="JoonisChar"/>
    <w:qFormat/>
    <w:rsid w:val="006A0944"/>
    <w:pPr>
      <w:jc w:val="both"/>
    </w:pPr>
    <w:rPr>
      <w:b/>
      <w:bCs/>
      <w:color w:val="4F81BD" w:themeColor="accent1"/>
    </w:rPr>
  </w:style>
  <w:style w:type="character" w:customStyle="1" w:styleId="PealkiriChar">
    <w:name w:val="Pealkiri Char"/>
    <w:basedOn w:val="Heading1Char"/>
    <w:link w:val="Pealkiri1"/>
    <w:rsid w:val="006A0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oonisChar">
    <w:name w:val="Joonis Char"/>
    <w:basedOn w:val="DefaultParagraphFont"/>
    <w:link w:val="Joonis"/>
    <w:rsid w:val="006A0944"/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A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44"/>
  </w:style>
  <w:style w:type="paragraph" w:styleId="Heading1">
    <w:name w:val="heading 1"/>
    <w:basedOn w:val="Normal"/>
    <w:next w:val="Normal"/>
    <w:link w:val="Heading1Char"/>
    <w:uiPriority w:val="9"/>
    <w:qFormat/>
    <w:rsid w:val="006A0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44"/>
  </w:style>
  <w:style w:type="paragraph" w:styleId="FootnoteText">
    <w:name w:val="footnote text"/>
    <w:basedOn w:val="Normal"/>
    <w:link w:val="FootnoteTextChar"/>
    <w:uiPriority w:val="99"/>
    <w:semiHidden/>
    <w:unhideWhenUsed/>
    <w:rsid w:val="006A0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9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944"/>
    <w:rPr>
      <w:vertAlign w:val="superscript"/>
    </w:rPr>
  </w:style>
  <w:style w:type="paragraph" w:customStyle="1" w:styleId="Pealkiri1">
    <w:name w:val="Pealkiri1"/>
    <w:basedOn w:val="Heading1"/>
    <w:link w:val="PealkiriChar"/>
    <w:qFormat/>
    <w:rsid w:val="006A0944"/>
    <w:rPr>
      <w:color w:val="4F81BD" w:themeColor="accent1"/>
      <w:sz w:val="24"/>
      <w:szCs w:val="24"/>
    </w:rPr>
  </w:style>
  <w:style w:type="paragraph" w:customStyle="1" w:styleId="Joonis">
    <w:name w:val="Joonis"/>
    <w:basedOn w:val="Normal"/>
    <w:link w:val="JoonisChar"/>
    <w:qFormat/>
    <w:rsid w:val="006A0944"/>
    <w:pPr>
      <w:jc w:val="both"/>
    </w:pPr>
    <w:rPr>
      <w:b/>
      <w:bCs/>
      <w:color w:val="4F81BD" w:themeColor="accent1"/>
    </w:rPr>
  </w:style>
  <w:style w:type="character" w:customStyle="1" w:styleId="PealkiriChar">
    <w:name w:val="Pealkiri Char"/>
    <w:basedOn w:val="Heading1Char"/>
    <w:link w:val="Pealkiri1"/>
    <w:rsid w:val="006A0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oonisChar">
    <w:name w:val="Joonis Char"/>
    <w:basedOn w:val="DefaultParagraphFont"/>
    <w:link w:val="Joonis"/>
    <w:rsid w:val="006A0944"/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A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37</a:t>
                    </a:r>
                    <a:r>
                      <a:rPr lang="et-EE" sz="1100" b="1"/>
                      <a:t>,0%</a:t>
                    </a:r>
                    <a:endParaRPr lang="en-US" b="1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t-EE" sz="1100" b="1"/>
                      <a:t>30,8%</a:t>
                    </a:r>
                    <a:endParaRPr lang="en-US" b="1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402012248468812E-3"/>
                  <c:y val="-4.2978638086905802E-2"/>
                </c:manualLayout>
              </c:layout>
              <c:tx>
                <c:rich>
                  <a:bodyPr/>
                  <a:lstStyle/>
                  <a:p>
                    <a:r>
                      <a:rPr lang="et-EE" sz="1100" b="1"/>
                      <a:t>0,2</a:t>
                    </a:r>
                    <a:r>
                      <a:rPr lang="et-EE" sz="11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71478565179348E-3"/>
                  <c:y val="-0.10780365995917177"/>
                </c:manualLayout>
              </c:layout>
              <c:tx>
                <c:rich>
                  <a:bodyPr/>
                  <a:lstStyle/>
                  <a:p>
                    <a:r>
                      <a:rPr lang="et-EE" b="1"/>
                      <a:t>4,4%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892410323709537"/>
                  <c:y val="6.348680373286672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t-EE" sz="1100" b="1"/>
                      <a:t>27,5%</a:t>
                    </a:r>
                    <a:endParaRPr lang="en-US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et-E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Sheet3!$A$3:$A$7</c:f>
              <c:strCache>
                <c:ptCount val="5"/>
                <c:pt idx="0">
                  <c:v>maksutulud</c:v>
                </c:pt>
                <c:pt idx="1">
                  <c:v>kaupade ja teenuste müük</c:v>
                </c:pt>
                <c:pt idx="2">
                  <c:v>muud tulud</c:v>
                </c:pt>
                <c:pt idx="3">
                  <c:v>toetused jooksvateks kuludeks</c:v>
                </c:pt>
                <c:pt idx="4">
                  <c:v>mittesihtotstarbelised toetused</c:v>
                </c:pt>
              </c:strCache>
            </c:strRef>
          </c:cat>
          <c:val>
            <c:numRef>
              <c:f>Sheet3!$B$3:$B$7</c:f>
              <c:numCache>
                <c:formatCode>General</c:formatCode>
                <c:ptCount val="5"/>
                <c:pt idx="0">
                  <c:v>611900</c:v>
                </c:pt>
                <c:pt idx="1">
                  <c:v>510102</c:v>
                </c:pt>
                <c:pt idx="2">
                  <c:v>3050</c:v>
                </c:pt>
                <c:pt idx="3">
                  <c:v>73500</c:v>
                </c:pt>
                <c:pt idx="4">
                  <c:v>455133</c:v>
                </c:pt>
              </c:numCache>
            </c:numRef>
          </c:val>
        </c:ser>
        <c:ser>
          <c:idx val="1"/>
          <c:order val="1"/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Sheet3!$A$3:$A$7</c:f>
              <c:strCache>
                <c:ptCount val="5"/>
                <c:pt idx="0">
                  <c:v>maksutulud</c:v>
                </c:pt>
                <c:pt idx="1">
                  <c:v>kaupade ja teenuste müük</c:v>
                </c:pt>
                <c:pt idx="2">
                  <c:v>muud tulud</c:v>
                </c:pt>
                <c:pt idx="3">
                  <c:v>toetused jooksvateks kuludeks</c:v>
                </c:pt>
                <c:pt idx="4">
                  <c:v>mittesihtotstarbelised toetused</c:v>
                </c:pt>
              </c:strCache>
            </c:strRef>
          </c:cat>
          <c:val>
            <c:numRef>
              <c:f>Sheet3!$C$3:$C$7</c:f>
              <c:numCache>
                <c:formatCode>0.0%</c:formatCode>
                <c:ptCount val="5"/>
                <c:pt idx="0">
                  <c:v>0.37002210215367498</c:v>
                </c:pt>
                <c:pt idx="1">
                  <c:v>0.3084638247308284</c:v>
                </c:pt>
                <c:pt idx="2">
                  <c:v>1.8443657649431422E-3</c:v>
                </c:pt>
                <c:pt idx="3">
                  <c:v>4.444619138469539E-2</c:v>
                </c:pt>
                <c:pt idx="4">
                  <c:v>0.27522351596585809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16"/>
          <c:dLbls>
            <c:dLbl>
              <c:idx val="1"/>
              <c:layout>
                <c:manualLayout>
                  <c:x val="3.3177812337998963E-2"/>
                  <c:y val="-5.0697078171701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061171591498185E-2"/>
                  <c:y val="-3.0418246903020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472265422498704E-2"/>
                  <c:y val="-1.3519220845786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Sheet1!$A$1:$A$8</c:f>
              <c:strCache>
                <c:ptCount val="8"/>
                <c:pt idx="0">
                  <c:v>01 Üldised valitsussektori teenused</c:v>
                </c:pt>
                <c:pt idx="1">
                  <c:v>03 Avalik kord</c:v>
                </c:pt>
                <c:pt idx="2">
                  <c:v>04 Majandus</c:v>
                </c:pt>
                <c:pt idx="3">
                  <c:v>05 Keskkonnakaitse</c:v>
                </c:pt>
                <c:pt idx="4">
                  <c:v>06 Elamu- ja kommunaalmajandus</c:v>
                </c:pt>
                <c:pt idx="5">
                  <c:v>08 Vaba aeg, kultuur, sport</c:v>
                </c:pt>
                <c:pt idx="6">
                  <c:v>09 Haridus</c:v>
                </c:pt>
                <c:pt idx="7">
                  <c:v>10 Sotsiaalne kaitse</c:v>
                </c:pt>
              </c:strCache>
            </c:strRef>
          </c:cat>
          <c:val>
            <c:numRef>
              <c:f>Sheet1!$B$1:$B$8</c:f>
              <c:numCache>
                <c:formatCode>0.0%</c:formatCode>
                <c:ptCount val="8"/>
                <c:pt idx="0">
                  <c:v>0.15585742156297958</c:v>
                </c:pt>
                <c:pt idx="1">
                  <c:v>1.2102610775196426E-3</c:v>
                </c:pt>
                <c:pt idx="2">
                  <c:v>2.329752574225312E-2</c:v>
                </c:pt>
                <c:pt idx="3">
                  <c:v>2.7898333228444039E-2</c:v>
                </c:pt>
                <c:pt idx="4">
                  <c:v>1.7064681193026961E-2</c:v>
                </c:pt>
                <c:pt idx="5">
                  <c:v>9.633678177056354E-2</c:v>
                </c:pt>
                <c:pt idx="6">
                  <c:v>0.3964742674289698</c:v>
                </c:pt>
                <c:pt idx="7">
                  <c:v>0.28186072799624334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t-EE" sz="1200" i="1">
                <a:solidFill>
                  <a:sysClr val="windowText" lastClr="000000"/>
                </a:solidFill>
              </a:rPr>
              <a:t>Põhitegevuse kulud majandusliku sisu alusel valdkonniti 2017.aastal võrreldes 2016.aasta eelarve täitmisega (tuhat eurot)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274811802370872E-2"/>
          <c:y val="0.16527613219207127"/>
          <c:w val="0.72305299203898421"/>
          <c:h val="0.64308883439379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lisa1!$C$31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lisa1!$C$32:$C$43</c:f>
              <c:numCache>
                <c:formatCode>General</c:formatCode>
                <c:ptCount val="12"/>
                <c:pt idx="0">
                  <c:v>202.58099999999999</c:v>
                </c:pt>
                <c:pt idx="2">
                  <c:v>106.794</c:v>
                </c:pt>
                <c:pt idx="4">
                  <c:v>36.274999999999999</c:v>
                </c:pt>
                <c:pt idx="6">
                  <c:v>100.608</c:v>
                </c:pt>
                <c:pt idx="8">
                  <c:v>19.7</c:v>
                </c:pt>
                <c:pt idx="10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lisa1!$D$31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lisa1!$D$32:$D$43</c:f>
              <c:numCache>
                <c:formatCode>General</c:formatCode>
                <c:ptCount val="12"/>
                <c:pt idx="0">
                  <c:v>445.10700000000003</c:v>
                </c:pt>
                <c:pt idx="2">
                  <c:v>311.63499999999999</c:v>
                </c:pt>
                <c:pt idx="4">
                  <c:v>153.88499999999999</c:v>
                </c:pt>
                <c:pt idx="6">
                  <c:v>56.142000000000003</c:v>
                </c:pt>
                <c:pt idx="8">
                  <c:v>26.402999999999999</c:v>
                </c:pt>
                <c:pt idx="10">
                  <c:v>7.1054273576010019E-14</c:v>
                </c:pt>
              </c:numCache>
            </c:numRef>
          </c:val>
        </c:ser>
        <c:ser>
          <c:idx val="2"/>
          <c:order val="2"/>
          <c:tx>
            <c:strRef>
              <c:f>lisa1!$E$31</c:f>
              <c:strCache>
                <c:ptCount val="1"/>
                <c:pt idx="0">
                  <c:v>antavad toetused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lisa1!$E$32:$E$43</c:f>
              <c:numCache>
                <c:formatCode>General</c:formatCode>
                <c:ptCount val="12"/>
                <c:pt idx="0">
                  <c:v>7.5</c:v>
                </c:pt>
                <c:pt idx="2">
                  <c:v>47.356000000000002</c:v>
                </c:pt>
                <c:pt idx="4">
                  <c:v>8.4</c:v>
                </c:pt>
                <c:pt idx="6">
                  <c:v>2.4500000000000002</c:v>
                </c:pt>
                <c:pt idx="8">
                  <c:v>0</c:v>
                </c:pt>
                <c:pt idx="10">
                  <c:v>8.8817841970012523E-16</c:v>
                </c:pt>
              </c:numCache>
            </c:numRef>
          </c:val>
        </c:ser>
        <c:ser>
          <c:idx val="3"/>
          <c:order val="3"/>
          <c:tx>
            <c:strRef>
              <c:f>lisa1!$F$31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lisa1!$F$32:$F$43</c:f>
              <c:numCache>
                <c:formatCode>General</c:formatCode>
                <c:ptCount val="12"/>
                <c:pt idx="1">
                  <c:v>184.655</c:v>
                </c:pt>
                <c:pt idx="3">
                  <c:v>98.421999999999997</c:v>
                </c:pt>
                <c:pt idx="5">
                  <c:v>33.619999999999997</c:v>
                </c:pt>
                <c:pt idx="7">
                  <c:v>69.581999999999994</c:v>
                </c:pt>
                <c:pt idx="9">
                  <c:v>15.465999999999999</c:v>
                </c:pt>
                <c:pt idx="11">
                  <c:v>52.171999999999947</c:v>
                </c:pt>
              </c:numCache>
            </c:numRef>
          </c:val>
        </c:ser>
        <c:ser>
          <c:idx val="4"/>
          <c:order val="4"/>
          <c:tx>
            <c:strRef>
              <c:f>lisa1!$G$31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lisa1!$G$32:$G$43</c:f>
              <c:numCache>
                <c:formatCode>General</c:formatCode>
                <c:ptCount val="12"/>
                <c:pt idx="1">
                  <c:v>412.03300000000002</c:v>
                </c:pt>
                <c:pt idx="3">
                  <c:v>310.90699999999998</c:v>
                </c:pt>
                <c:pt idx="5">
                  <c:v>143.99100000000001</c:v>
                </c:pt>
                <c:pt idx="7">
                  <c:v>51.584000000000003</c:v>
                </c:pt>
                <c:pt idx="9">
                  <c:v>23.785</c:v>
                </c:pt>
                <c:pt idx="11">
                  <c:v>-6.0396132539608516E-14</c:v>
                </c:pt>
              </c:numCache>
            </c:numRef>
          </c:val>
        </c:ser>
        <c:ser>
          <c:idx val="5"/>
          <c:order val="5"/>
          <c:tx>
            <c:strRef>
              <c:f>lisa1!$H$31</c:f>
              <c:strCache>
                <c:ptCount val="1"/>
                <c:pt idx="0">
                  <c:v>antavad toetuses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lisa1!$H$32:$H$43</c:f>
              <c:numCache>
                <c:formatCode>General</c:formatCode>
                <c:ptCount val="12"/>
                <c:pt idx="1">
                  <c:v>6.3840000000000003</c:v>
                </c:pt>
                <c:pt idx="3">
                  <c:v>38.676000000000002</c:v>
                </c:pt>
                <c:pt idx="5">
                  <c:v>6.3369999999999997</c:v>
                </c:pt>
                <c:pt idx="7">
                  <c:v>0.21</c:v>
                </c:pt>
                <c:pt idx="9">
                  <c:v>0</c:v>
                </c:pt>
                <c:pt idx="11">
                  <c:v>-2.6922908347160046E-15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801792"/>
        <c:axId val="80803328"/>
      </c:barChart>
      <c:lineChart>
        <c:grouping val="standard"/>
        <c:varyColors val="0"/>
        <c:ser>
          <c:idx val="6"/>
          <c:order val="6"/>
          <c:tx>
            <c:strRef>
              <c:f>lisa1!$I$31</c:f>
              <c:strCache>
                <c:ptCount val="1"/>
                <c:pt idx="0">
                  <c:v>muutus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dPt>
            <c:idx val="1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3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5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7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</c:dPt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lisa1!$A$32:$B$43</c:f>
              <c:multiLvlStrCache>
                <c:ptCount val="12"/>
                <c:lvl>
                  <c:pt idx="0">
                    <c:v>2017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2016</c:v>
                  </c:pt>
                  <c:pt idx="8">
                    <c:v>2017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2016</c:v>
                  </c:pt>
                </c:lvl>
                <c:lvl>
                  <c:pt idx="0">
                    <c:v>Haridus</c:v>
                  </c:pt>
                  <c:pt idx="2">
                    <c:v>Sotsiaalne kaitse</c:v>
                  </c:pt>
                  <c:pt idx="4">
                    <c:v>Üldised valitsussektori teenused</c:v>
                  </c:pt>
                  <c:pt idx="6">
                    <c:v>Vaba aeg, kultuur, religioon</c:v>
                  </c:pt>
                  <c:pt idx="8">
                    <c:v>Keskkonnakaitse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lisa1!$I$32:$I$43</c:f>
              <c:numCache>
                <c:formatCode>General</c:formatCode>
                <c:ptCount val="12"/>
                <c:pt idx="0" formatCode="0%">
                  <c:v>8.641754218401787E-2</c:v>
                </c:pt>
                <c:pt idx="2" formatCode="0%">
                  <c:v>3.9687057064095255E-2</c:v>
                </c:pt>
                <c:pt idx="4" formatCode="0%">
                  <c:v>7.9435492639224003E-2</c:v>
                </c:pt>
                <c:pt idx="6" formatCode="0%">
                  <c:v>0.3116266807276562</c:v>
                </c:pt>
                <c:pt idx="8" formatCode="0%">
                  <c:v>0.17456880079488424</c:v>
                </c:pt>
                <c:pt idx="10" formatCode="0%">
                  <c:v>0.31679828260369991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63008"/>
        <c:axId val="80804864"/>
      </c:lineChart>
      <c:catAx>
        <c:axId val="8080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803328"/>
        <c:crosses val="autoZero"/>
        <c:auto val="1"/>
        <c:lblAlgn val="ctr"/>
        <c:lblOffset val="100"/>
        <c:noMultiLvlLbl val="0"/>
      </c:catAx>
      <c:valAx>
        <c:axId val="8080332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80801792"/>
        <c:crosses val="autoZero"/>
        <c:crossBetween val="between"/>
      </c:valAx>
      <c:valAx>
        <c:axId val="8080486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81163008"/>
        <c:crosses val="max"/>
        <c:crossBetween val="between"/>
      </c:valAx>
      <c:catAx>
        <c:axId val="81163008"/>
        <c:scaling>
          <c:orientation val="minMax"/>
        </c:scaling>
        <c:delete val="1"/>
        <c:axPos val="b"/>
        <c:majorTickMark val="out"/>
        <c:minorTickMark val="none"/>
        <c:tickLblPos val="none"/>
        <c:crossAx val="80804864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C875-B256-481A-839E-AB51031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1295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</dc:creator>
  <cp:keywords/>
  <dc:description/>
  <cp:lastModifiedBy>Maarika</cp:lastModifiedBy>
  <cp:revision>30</cp:revision>
  <cp:lastPrinted>2017-01-30T08:08:00Z</cp:lastPrinted>
  <dcterms:created xsi:type="dcterms:W3CDTF">2016-03-09T07:58:00Z</dcterms:created>
  <dcterms:modified xsi:type="dcterms:W3CDTF">2017-02-01T09:46:00Z</dcterms:modified>
</cp:coreProperties>
</file>